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561A" w14:textId="77777777" w:rsidR="00200454" w:rsidRDefault="00200454">
      <w:pPr>
        <w:ind w:left="4253"/>
        <w:jc w:val="both"/>
        <w:rPr>
          <w:rFonts w:ascii="Garamond" w:eastAsia="Garamond" w:hAnsi="Garamond" w:cs="Garamond"/>
          <w:b/>
          <w:bCs/>
          <w:smallCaps/>
          <w:sz w:val="20"/>
          <w:szCs w:val="20"/>
        </w:rPr>
      </w:pPr>
    </w:p>
    <w:p w14:paraId="00510216" w14:textId="77777777" w:rsidR="00200454" w:rsidRDefault="00000000">
      <w:pPr>
        <w:ind w:left="6803"/>
        <w:jc w:val="both"/>
        <w:rPr>
          <w:rFonts w:ascii="Garamond" w:eastAsia="Garamond" w:hAnsi="Garamond" w:cs="Garamond"/>
          <w:b/>
          <w:bCs/>
          <w:sz w:val="26"/>
          <w:szCs w:val="26"/>
        </w:rPr>
      </w:pPr>
      <w:r>
        <w:rPr>
          <w:rFonts w:ascii="Garamond" w:eastAsia="Garamond" w:hAnsi="Garamond" w:cs="Garamond"/>
          <w:b/>
          <w:bCs/>
          <w:i/>
          <w:iCs/>
          <w:smallCaps/>
          <w:sz w:val="26"/>
          <w:szCs w:val="26"/>
        </w:rPr>
        <w:t>S</w:t>
      </w:r>
      <w:r>
        <w:rPr>
          <w:rFonts w:ascii="Garamond" w:eastAsia="Garamond" w:hAnsi="Garamond" w:cs="Garamond"/>
          <w:b/>
          <w:bCs/>
          <w:i/>
          <w:iCs/>
          <w:sz w:val="26"/>
          <w:szCs w:val="26"/>
        </w:rPr>
        <w:t>olicitud urgente de aborto por violación en aplicación de la NOM-046-SSA2-2005</w:t>
      </w:r>
    </w:p>
    <w:p w14:paraId="3EC9B9EB" w14:textId="77777777" w:rsidR="00200454" w:rsidRDefault="00200454">
      <w:pPr>
        <w:ind w:right="5378"/>
        <w:jc w:val="both"/>
        <w:rPr>
          <w:rFonts w:ascii="Garamond" w:eastAsia="Garamond" w:hAnsi="Garamond" w:cs="Garamond"/>
          <w:b/>
          <w:bCs/>
          <w:sz w:val="26"/>
          <w:szCs w:val="26"/>
        </w:rPr>
      </w:pPr>
    </w:p>
    <w:p w14:paraId="5BEE417D" w14:textId="77777777" w:rsidR="00200454" w:rsidRDefault="00200454">
      <w:pPr>
        <w:ind w:right="5378"/>
        <w:jc w:val="both"/>
        <w:rPr>
          <w:rFonts w:ascii="Garamond" w:eastAsia="Garamond" w:hAnsi="Garamond" w:cs="Garamond"/>
          <w:b/>
          <w:bCs/>
          <w:sz w:val="26"/>
          <w:szCs w:val="26"/>
        </w:rPr>
      </w:pPr>
    </w:p>
    <w:p w14:paraId="5E534DD2" w14:textId="77777777" w:rsidR="00200454" w:rsidRDefault="00000000">
      <w:pPr>
        <w:ind w:right="5378"/>
        <w:jc w:val="both"/>
        <w:rPr>
          <w:rFonts w:ascii="Garamond" w:eastAsia="Garamond" w:hAnsi="Garamond" w:cs="Garamond"/>
          <w:b/>
          <w:bCs/>
          <w:sz w:val="26"/>
          <w:szCs w:val="26"/>
        </w:rPr>
      </w:pPr>
      <w:r>
        <w:rPr>
          <w:rFonts w:ascii="Garamond" w:eastAsia="Garamond" w:hAnsi="Garamond" w:cs="Garamond"/>
          <w:b/>
          <w:bCs/>
          <w:sz w:val="26"/>
          <w:szCs w:val="26"/>
        </w:rPr>
        <w:t>Director(a) del Hospital [</w:t>
      </w:r>
      <w:r>
        <w:rPr>
          <w:rFonts w:ascii="Garamond" w:eastAsia="Garamond" w:hAnsi="Garamond" w:cs="Garamond"/>
          <w:b/>
          <w:bCs/>
          <w:sz w:val="26"/>
          <w:szCs w:val="26"/>
          <w:shd w:val="clear" w:color="auto" w:fill="EA9999"/>
        </w:rPr>
        <w:t>insertar nombre del Hospital al que se realiza la solicitud en caso de desconocerlo, dirigirlo a la Secretaría(o) de Salud del Estado</w:t>
      </w:r>
      <w:r>
        <w:rPr>
          <w:rFonts w:ascii="Garamond" w:eastAsia="Garamond" w:hAnsi="Garamond" w:cs="Garamond"/>
          <w:b/>
          <w:bCs/>
          <w:sz w:val="26"/>
          <w:szCs w:val="26"/>
        </w:rPr>
        <w:t>]</w:t>
      </w:r>
    </w:p>
    <w:p w14:paraId="3CDD6355" w14:textId="77777777" w:rsidR="00200454" w:rsidRDefault="00200454">
      <w:pPr>
        <w:ind w:right="5378"/>
        <w:jc w:val="both"/>
        <w:rPr>
          <w:rFonts w:ascii="Garamond" w:eastAsia="Garamond" w:hAnsi="Garamond" w:cs="Garamond"/>
          <w:b/>
          <w:bCs/>
          <w:sz w:val="26"/>
          <w:szCs w:val="26"/>
        </w:rPr>
      </w:pPr>
    </w:p>
    <w:p w14:paraId="143878E4" w14:textId="77777777" w:rsidR="00200454" w:rsidRDefault="00000000">
      <w:pPr>
        <w:jc w:val="both"/>
        <w:rPr>
          <w:rFonts w:ascii="Garamond" w:eastAsia="Garamond" w:hAnsi="Garamond" w:cs="Garamond"/>
        </w:rPr>
      </w:pPr>
      <w:r>
        <w:rPr>
          <w:rFonts w:ascii="Garamond" w:eastAsia="Garamond" w:hAnsi="Garamond" w:cs="Garamond"/>
        </w:rPr>
        <w:t>La que suscribe,</w:t>
      </w:r>
      <w:r>
        <w:rPr>
          <w:rFonts w:ascii="Garamond" w:eastAsia="Garamond" w:hAnsi="Garamond" w:cs="Garamond"/>
          <w:b/>
          <w:bCs/>
        </w:rPr>
        <w:t xml:space="preserve"> [</w:t>
      </w:r>
      <w:r>
        <w:rPr>
          <w:rFonts w:ascii="Garamond" w:eastAsia="Garamond" w:hAnsi="Garamond" w:cs="Garamond"/>
          <w:b/>
          <w:bCs/>
          <w:shd w:val="clear" w:color="auto" w:fill="FFD966"/>
        </w:rPr>
        <w:t>NOMBRE DE LA PERSONA QUE DESEA ABORTAR</w:t>
      </w:r>
      <w:r>
        <w:rPr>
          <w:rFonts w:ascii="Garamond" w:eastAsia="Garamond" w:hAnsi="Garamond" w:cs="Garamond"/>
          <w:b/>
          <w:bCs/>
        </w:rPr>
        <w:t>]</w:t>
      </w:r>
      <w:r>
        <w:rPr>
          <w:rFonts w:ascii="Garamond" w:eastAsia="Garamond" w:hAnsi="Garamond" w:cs="Garamond"/>
        </w:rPr>
        <w:t>, por mi propio derecho y en mi calidad de víctima, con fundamento en los artículos 1, 4, 8 y 20 apartado C fracción III y VI de la Constitución Política de los Estados Unidos Mexicanos; 1.1, 2, 5, 8 y 25 de la Convención Americana sobre Derechos Humanos; 1, 2.b, 3, 4, 7 incisos a, e y h de la Convención</w:t>
      </w:r>
      <w:r>
        <w:rPr>
          <w:rFonts w:ascii="Garamond" w:eastAsia="Garamond" w:hAnsi="Garamond" w:cs="Garamond"/>
          <w:b/>
          <w:bCs/>
        </w:rPr>
        <w:t xml:space="preserve"> </w:t>
      </w:r>
      <w:r>
        <w:rPr>
          <w:rFonts w:ascii="Garamond" w:eastAsia="Garamond" w:hAnsi="Garamond" w:cs="Garamond"/>
          <w:highlight w:val="white"/>
        </w:rPr>
        <w:t>Interamericana para Prevenir, Sancionar y Erradicar la Violencia contra la Mujer;</w:t>
      </w:r>
      <w:r>
        <w:rPr>
          <w:rFonts w:ascii="Garamond" w:eastAsia="Garamond" w:hAnsi="Garamond" w:cs="Garamond"/>
        </w:rPr>
        <w:t xml:space="preserve"> 1, 2 incisos d) y f), 12.1 de la Convención sobre la Eliminación de todas las formas de Discriminación contra la mujer; 5 fracción IV, 6 fracción V, 16, 18, 46 fracciones II y X, 49, 50, 51 fracción II de la Ley General de Acceso de las Mujeres a una Vida Libre de Violencia; 29, 30 fracción IX y 35 de la Ley General de Víctimas; 215 Bis 6 del Reglamento de la Ley General de Salud en Materia de Prestación de Servicios de Atención Medica; numerales 6.4.2.7. y 6.6.1. de la NOM-046-SSA2-2005 “Violencia Familiar, Sexual y contra las Mujeres. Criterios para la Prevención y Atención” (en adelante </w:t>
      </w:r>
      <w:r>
        <w:rPr>
          <w:rFonts w:ascii="Garamond" w:eastAsia="Garamond" w:hAnsi="Garamond" w:cs="Garamond"/>
          <w:i/>
          <w:iCs/>
        </w:rPr>
        <w:t>NOM-046</w:t>
      </w:r>
      <w:r>
        <w:rPr>
          <w:rFonts w:ascii="Garamond" w:eastAsia="Garamond" w:hAnsi="Garamond" w:cs="Garamond"/>
        </w:rPr>
        <w:t>) ; 17, 20 fracciones I, III, IX, y X Ley de Víctimas del Estado de Aguascalientes y 103 del Código Penal para el Estado de Aguascalientes, me dirijo a usted para exponer lo siguiente:</w:t>
      </w:r>
    </w:p>
    <w:p w14:paraId="55828178" w14:textId="77777777" w:rsidR="00200454" w:rsidRDefault="00200454">
      <w:pPr>
        <w:jc w:val="both"/>
        <w:rPr>
          <w:rFonts w:ascii="Garamond" w:eastAsia="Garamond" w:hAnsi="Garamond" w:cs="Garamond"/>
        </w:rPr>
      </w:pPr>
    </w:p>
    <w:p w14:paraId="0AADACBE" w14:textId="77777777" w:rsidR="00200454" w:rsidRDefault="00000000">
      <w:pPr>
        <w:numPr>
          <w:ilvl w:val="0"/>
          <w:numId w:val="1"/>
        </w:numPr>
        <w:jc w:val="both"/>
        <w:rPr>
          <w:rFonts w:ascii="Garamond" w:eastAsia="Garamond" w:hAnsi="Garamond" w:cs="Garamond"/>
          <w:b/>
          <w:bCs/>
        </w:rPr>
      </w:pPr>
      <w:r>
        <w:rPr>
          <w:rFonts w:ascii="Garamond" w:eastAsia="Garamond" w:hAnsi="Garamond" w:cs="Garamond"/>
          <w:b/>
          <w:bCs/>
        </w:rPr>
        <w:t>Autorizaciones y medios para recibir notificaciones</w:t>
      </w:r>
    </w:p>
    <w:p w14:paraId="43C8A7D3" w14:textId="77777777" w:rsidR="00200454" w:rsidRDefault="00200454">
      <w:pPr>
        <w:ind w:left="720"/>
        <w:jc w:val="both"/>
        <w:rPr>
          <w:rFonts w:ascii="Garamond" w:eastAsia="Garamond" w:hAnsi="Garamond" w:cs="Garamond"/>
          <w:b/>
          <w:bCs/>
        </w:rPr>
      </w:pPr>
    </w:p>
    <w:p w14:paraId="03DB2957" w14:textId="77777777" w:rsidR="00200454" w:rsidRDefault="00000000">
      <w:pPr>
        <w:jc w:val="both"/>
        <w:rPr>
          <w:rFonts w:ascii="Garamond" w:eastAsia="Garamond" w:hAnsi="Garamond" w:cs="Garamond"/>
        </w:rPr>
      </w:pPr>
      <w:r>
        <w:rPr>
          <w:rFonts w:ascii="Garamond" w:eastAsia="Garamond" w:hAnsi="Garamond" w:cs="Garamond"/>
        </w:rPr>
        <w:t xml:space="preserve">Señalo como medio para oír y recibir notificaciones el correo electrónico </w:t>
      </w:r>
      <w:r>
        <w:rPr>
          <w:rFonts w:ascii="Garamond" w:eastAsia="Garamond" w:hAnsi="Garamond" w:cs="Garamond"/>
          <w:b/>
          <w:bCs/>
        </w:rPr>
        <w:t>[</w:t>
      </w:r>
      <w:r>
        <w:rPr>
          <w:rFonts w:ascii="Garamond" w:eastAsia="Garamond" w:hAnsi="Garamond" w:cs="Garamond"/>
          <w:b/>
          <w:bCs/>
          <w:shd w:val="clear" w:color="auto" w:fill="FFD966"/>
        </w:rPr>
        <w:t>xx</w:t>
      </w:r>
      <w:r>
        <w:rPr>
          <w:rFonts w:ascii="Garamond" w:eastAsia="Garamond" w:hAnsi="Garamond" w:cs="Garamond"/>
          <w:b/>
          <w:bCs/>
        </w:rPr>
        <w:t>]</w:t>
      </w:r>
      <w:r>
        <w:rPr>
          <w:rFonts w:ascii="Garamond" w:eastAsia="Garamond" w:hAnsi="Garamond" w:cs="Garamond"/>
        </w:rPr>
        <w:t xml:space="preserve">y el número telefónico </w:t>
      </w:r>
      <w:r>
        <w:rPr>
          <w:rFonts w:ascii="Garamond" w:eastAsia="Garamond" w:hAnsi="Garamond" w:cs="Garamond"/>
          <w:b/>
          <w:bCs/>
        </w:rPr>
        <w:t>[</w:t>
      </w:r>
      <w:r>
        <w:rPr>
          <w:rFonts w:ascii="Garamond" w:eastAsia="Garamond" w:hAnsi="Garamond" w:cs="Garamond"/>
          <w:b/>
          <w:bCs/>
          <w:shd w:val="clear" w:color="auto" w:fill="FFD966"/>
        </w:rPr>
        <w:t>xx</w:t>
      </w:r>
      <w:r>
        <w:rPr>
          <w:rFonts w:ascii="Garamond" w:eastAsia="Garamond" w:hAnsi="Garamond" w:cs="Garamond"/>
          <w:b/>
          <w:bCs/>
        </w:rPr>
        <w:t>]</w:t>
      </w:r>
      <w:r>
        <w:rPr>
          <w:rFonts w:ascii="Garamond" w:eastAsia="Garamond" w:hAnsi="Garamond" w:cs="Garamond"/>
        </w:rPr>
        <w:t xml:space="preserve">, ambos pertenecientes a </w:t>
      </w:r>
      <w:r>
        <w:rPr>
          <w:rFonts w:ascii="Garamond" w:eastAsia="Garamond" w:hAnsi="Garamond" w:cs="Garamond"/>
          <w:b/>
          <w:bCs/>
        </w:rPr>
        <w:t>[</w:t>
      </w:r>
      <w:r>
        <w:rPr>
          <w:rFonts w:ascii="Garamond" w:eastAsia="Garamond" w:hAnsi="Garamond" w:cs="Garamond"/>
          <w:b/>
          <w:bCs/>
          <w:shd w:val="clear" w:color="auto" w:fill="FFD966"/>
        </w:rPr>
        <w:t>xx</w:t>
      </w:r>
      <w:r>
        <w:rPr>
          <w:rFonts w:ascii="Garamond" w:eastAsia="Garamond" w:hAnsi="Garamond" w:cs="Garamond"/>
          <w:b/>
          <w:bCs/>
        </w:rPr>
        <w:t xml:space="preserve">] </w:t>
      </w:r>
      <w:r>
        <w:rPr>
          <w:rFonts w:ascii="Garamond" w:eastAsia="Garamond" w:hAnsi="Garamond" w:cs="Garamond"/>
        </w:rPr>
        <w:t xml:space="preserve">medios que podrán ser utilizados a efecto de entablar cualquier comunicación posterior registro y certificación de las mismas. De igual manera autorizo en términos amplios para darle seguimiento a la presente solicitud a las ciudadanas </w:t>
      </w:r>
      <w:r>
        <w:rPr>
          <w:rFonts w:ascii="Garamond" w:eastAsia="Garamond" w:hAnsi="Garamond" w:cs="Garamond"/>
          <w:b/>
          <w:bCs/>
        </w:rPr>
        <w:t>[</w:t>
      </w:r>
      <w:r>
        <w:rPr>
          <w:rFonts w:ascii="Garamond" w:eastAsia="Garamond" w:hAnsi="Garamond" w:cs="Garamond"/>
          <w:b/>
          <w:bCs/>
          <w:shd w:val="clear" w:color="auto" w:fill="FFD966"/>
        </w:rPr>
        <w:t>insertar personas que acompañarán en el proceso</w:t>
      </w:r>
      <w:r>
        <w:rPr>
          <w:rFonts w:ascii="Garamond" w:eastAsia="Garamond" w:hAnsi="Garamond" w:cs="Garamond"/>
          <w:b/>
          <w:bCs/>
        </w:rPr>
        <w:t>]</w:t>
      </w:r>
      <w:r>
        <w:rPr>
          <w:rFonts w:ascii="Garamond" w:eastAsia="Garamond" w:hAnsi="Garamond" w:cs="Garamond"/>
        </w:rPr>
        <w:t xml:space="preserve"> </w:t>
      </w:r>
    </w:p>
    <w:p w14:paraId="09CDA05D" w14:textId="77777777" w:rsidR="00200454" w:rsidRDefault="00200454">
      <w:pPr>
        <w:jc w:val="both"/>
        <w:rPr>
          <w:rFonts w:ascii="Garamond" w:eastAsia="Garamond" w:hAnsi="Garamond" w:cs="Garamond"/>
        </w:rPr>
      </w:pPr>
    </w:p>
    <w:p w14:paraId="308DB447" w14:textId="77777777" w:rsidR="00200454" w:rsidRDefault="00000000">
      <w:pPr>
        <w:numPr>
          <w:ilvl w:val="0"/>
          <w:numId w:val="1"/>
        </w:numPr>
        <w:jc w:val="both"/>
        <w:rPr>
          <w:rFonts w:ascii="Garamond" w:eastAsia="Garamond" w:hAnsi="Garamond" w:cs="Garamond"/>
          <w:b/>
          <w:bCs/>
        </w:rPr>
      </w:pPr>
      <w:r>
        <w:rPr>
          <w:rFonts w:ascii="Garamond" w:eastAsia="Garamond" w:hAnsi="Garamond" w:cs="Garamond"/>
          <w:b/>
          <w:bCs/>
        </w:rPr>
        <w:t>Solicitud de aborto por violación</w:t>
      </w:r>
    </w:p>
    <w:p w14:paraId="4749CCE0" w14:textId="77777777" w:rsidR="00200454" w:rsidRDefault="00200454">
      <w:pPr>
        <w:ind w:left="720"/>
        <w:jc w:val="both"/>
        <w:rPr>
          <w:rFonts w:ascii="Garamond" w:eastAsia="Garamond" w:hAnsi="Garamond" w:cs="Garamond"/>
          <w:b/>
          <w:bCs/>
        </w:rPr>
      </w:pPr>
    </w:p>
    <w:p w14:paraId="75459958" w14:textId="77777777" w:rsidR="00200454" w:rsidRDefault="00000000">
      <w:pPr>
        <w:jc w:val="both"/>
        <w:rPr>
          <w:rFonts w:ascii="Garamond" w:eastAsia="Garamond" w:hAnsi="Garamond" w:cs="Garamond"/>
        </w:rPr>
      </w:pPr>
      <w:r>
        <w:rPr>
          <w:rFonts w:ascii="Garamond" w:eastAsia="Garamond" w:hAnsi="Garamond" w:cs="Garamond"/>
        </w:rPr>
        <w:t xml:space="preserve">La suscrita, </w:t>
      </w:r>
      <w:r>
        <w:rPr>
          <w:rFonts w:ascii="Garamond" w:eastAsia="Garamond" w:hAnsi="Garamond" w:cs="Garamond"/>
          <w:b/>
          <w:bCs/>
        </w:rPr>
        <w:t>[</w:t>
      </w:r>
      <w:r>
        <w:rPr>
          <w:rFonts w:ascii="Garamond" w:eastAsia="Garamond" w:hAnsi="Garamond" w:cs="Garamond"/>
          <w:b/>
          <w:bCs/>
          <w:shd w:val="clear" w:color="auto" w:fill="FFD966"/>
        </w:rPr>
        <w:t>NOMBRE DE LA PERSONA QUE DESEA ABORTAR</w:t>
      </w:r>
      <w:r>
        <w:rPr>
          <w:rFonts w:ascii="Garamond" w:eastAsia="Garamond" w:hAnsi="Garamond" w:cs="Garamond"/>
          <w:b/>
          <w:bCs/>
        </w:rPr>
        <w:t>]</w:t>
      </w:r>
      <w:r>
        <w:rPr>
          <w:rFonts w:ascii="Garamond" w:eastAsia="Garamond" w:hAnsi="Garamond" w:cs="Garamond"/>
        </w:rPr>
        <w:t xml:space="preserve">, manifiesto bajo protesta de decir verdad que tengo </w:t>
      </w:r>
      <w:r>
        <w:rPr>
          <w:rFonts w:ascii="Garamond" w:eastAsia="Garamond" w:hAnsi="Garamond" w:cs="Garamond"/>
          <w:b/>
          <w:bCs/>
        </w:rPr>
        <w:t>[</w:t>
      </w:r>
      <w:r>
        <w:rPr>
          <w:rFonts w:ascii="Garamond" w:eastAsia="Garamond" w:hAnsi="Garamond" w:cs="Garamond"/>
          <w:b/>
          <w:bCs/>
          <w:shd w:val="clear" w:color="auto" w:fill="FFD966"/>
        </w:rPr>
        <w:t>xx</w:t>
      </w:r>
      <w:r>
        <w:rPr>
          <w:rFonts w:ascii="Garamond" w:eastAsia="Garamond" w:hAnsi="Garamond" w:cs="Garamond"/>
          <w:b/>
          <w:bCs/>
        </w:rPr>
        <w:t>]</w:t>
      </w:r>
      <w:r>
        <w:rPr>
          <w:rFonts w:ascii="Garamond" w:eastAsia="Garamond" w:hAnsi="Garamond" w:cs="Garamond"/>
        </w:rPr>
        <w:t xml:space="preserve"> años y fui víctima de violación. Como consecuencia de ello, actualmente curso un embarazo de aproximadamente </w:t>
      </w:r>
      <w:r>
        <w:rPr>
          <w:rFonts w:ascii="Garamond" w:eastAsia="Garamond" w:hAnsi="Garamond" w:cs="Garamond"/>
          <w:b/>
          <w:bCs/>
        </w:rPr>
        <w:t>[</w:t>
      </w:r>
      <w:r>
        <w:rPr>
          <w:rFonts w:ascii="Garamond" w:eastAsia="Garamond" w:hAnsi="Garamond" w:cs="Garamond"/>
          <w:b/>
          <w:bCs/>
          <w:shd w:val="clear" w:color="auto" w:fill="FFD966"/>
        </w:rPr>
        <w:t>xx</w:t>
      </w:r>
      <w:r>
        <w:rPr>
          <w:rFonts w:ascii="Garamond" w:eastAsia="Garamond" w:hAnsi="Garamond" w:cs="Garamond"/>
          <w:b/>
          <w:bCs/>
        </w:rPr>
        <w:t>]</w:t>
      </w:r>
      <w:r>
        <w:rPr>
          <w:rFonts w:ascii="Garamond" w:eastAsia="Garamond" w:hAnsi="Garamond" w:cs="Garamond"/>
        </w:rPr>
        <w:t xml:space="preserve"> semanas de gestación. Por lo anterior y con fundamento en los artículos señalados al principio de este escrito, solicito se me practique la interrupción del embarazo que curso, por tratarse de un embarazo no deseado producto de una violación.</w:t>
      </w:r>
    </w:p>
    <w:p w14:paraId="0A18BB5C" w14:textId="77777777" w:rsidR="00200454" w:rsidRDefault="00200454">
      <w:pPr>
        <w:jc w:val="both"/>
        <w:rPr>
          <w:rFonts w:ascii="Garamond" w:eastAsia="Garamond" w:hAnsi="Garamond" w:cs="Garamond"/>
        </w:rPr>
      </w:pPr>
    </w:p>
    <w:p w14:paraId="71D86B98" w14:textId="77777777" w:rsidR="00200454" w:rsidRDefault="00000000">
      <w:pPr>
        <w:numPr>
          <w:ilvl w:val="0"/>
          <w:numId w:val="1"/>
        </w:numPr>
        <w:pBdr>
          <w:top w:val="nil"/>
          <w:left w:val="nil"/>
          <w:bottom w:val="nil"/>
          <w:right w:val="nil"/>
          <w:between w:val="nil"/>
        </w:pBdr>
        <w:jc w:val="both"/>
        <w:rPr>
          <w:rFonts w:ascii="Garamond" w:eastAsia="Garamond" w:hAnsi="Garamond" w:cs="Garamond"/>
          <w:b/>
          <w:bCs/>
          <w:color w:val="000000"/>
        </w:rPr>
      </w:pPr>
      <w:r>
        <w:rPr>
          <w:rFonts w:ascii="Garamond" w:eastAsia="Garamond" w:hAnsi="Garamond" w:cs="Garamond"/>
          <w:b/>
          <w:bCs/>
          <w:color w:val="000000"/>
        </w:rPr>
        <w:t xml:space="preserve">Elementos jurídicos para resolver la solicitud </w:t>
      </w:r>
    </w:p>
    <w:p w14:paraId="16A4A8BF" w14:textId="77777777" w:rsidR="00200454" w:rsidRDefault="00200454">
      <w:pPr>
        <w:pBdr>
          <w:top w:val="nil"/>
          <w:left w:val="nil"/>
          <w:bottom w:val="nil"/>
          <w:right w:val="nil"/>
          <w:between w:val="nil"/>
        </w:pBdr>
        <w:jc w:val="both"/>
        <w:rPr>
          <w:rFonts w:ascii="Garamond" w:eastAsia="Garamond" w:hAnsi="Garamond" w:cs="Garamond"/>
        </w:rPr>
      </w:pPr>
    </w:p>
    <w:p w14:paraId="45EA6B0C" w14:textId="77777777" w:rsidR="00200454" w:rsidRDefault="00000000">
      <w:pPr>
        <w:jc w:val="both"/>
        <w:rPr>
          <w:rFonts w:ascii="Garamond" w:eastAsia="Garamond" w:hAnsi="Garamond" w:cs="Garamond"/>
        </w:rPr>
      </w:pPr>
      <w:r>
        <w:rPr>
          <w:rFonts w:ascii="Garamond" w:eastAsia="Garamond" w:hAnsi="Garamond" w:cs="Garamond"/>
        </w:rPr>
        <w:t>Los artículos 1 y 4 de la Constitución, reconocen el derecho humano a la salud y la obligación de todas las autoridades en el ámbito de sus competencias de promover, respetar, proteger y garantizar los derechos humanos. Por su parte, el artículo 20 apartado C fracción III del mismo ordenamiento reconoce el derecho de las víctimas del delito a recibir atención médica y psicológica de urgencia. Tratándose de mujeres y personas con capacidad de gestar víctimas de violencia sexual, dicha obligación no se limita al ámbito procesal penal, sino que se extiende a todas las autoridades, incluidas expresamente las instituciones públicas de salud. En consecuencia, los servicios de salud están obligados a garantizar el acceso efectivo, inmediato y no condicionado a los servicios médicos que resulten necesarios como consecuencia del hecho victimizante.</w:t>
      </w:r>
    </w:p>
    <w:p w14:paraId="4D198606" w14:textId="77777777" w:rsidR="00200454" w:rsidRDefault="00200454">
      <w:pPr>
        <w:jc w:val="both"/>
        <w:rPr>
          <w:rFonts w:ascii="Garamond" w:eastAsia="Garamond" w:hAnsi="Garamond" w:cs="Garamond"/>
        </w:rPr>
      </w:pPr>
    </w:p>
    <w:p w14:paraId="673765C6" w14:textId="77777777" w:rsidR="00200454" w:rsidRDefault="00000000">
      <w:pPr>
        <w:ind w:firstLine="720"/>
        <w:jc w:val="both"/>
        <w:rPr>
          <w:rFonts w:ascii="Garamond" w:eastAsia="Garamond" w:hAnsi="Garamond" w:cs="Garamond"/>
        </w:rPr>
      </w:pPr>
      <w:r>
        <w:rPr>
          <w:rFonts w:ascii="Garamond" w:eastAsia="Garamond" w:hAnsi="Garamond" w:cs="Garamond"/>
        </w:rPr>
        <w:t>Este mandato se refuerza con lo dispuesto en la Ley General de Víctimas, la Ley General de Acceso de las Mujeres a una Vida Libre de Violencia y la NOM-046, que integran el parámetro de regularidad constitucional conforme al artículo 1° constitucional. Asimismo, conforme a la Convención Interamericana para Prevenir, Sancionar y Erradicar la Violencia contra la Mujer (Convención de Belém do Pará), el Estado mexicano tiene la obligación de suministrar servicios especializados apropiados para la atención de mujeres víctimas de violencia, lo que incluye servicios de salud sexual y reproductiva.</w:t>
      </w:r>
    </w:p>
    <w:p w14:paraId="534855B7" w14:textId="77777777" w:rsidR="00200454" w:rsidRDefault="00200454">
      <w:pPr>
        <w:jc w:val="both"/>
        <w:rPr>
          <w:rFonts w:ascii="Garamond" w:eastAsia="Garamond" w:hAnsi="Garamond" w:cs="Garamond"/>
        </w:rPr>
      </w:pPr>
    </w:p>
    <w:p w14:paraId="190D1FD4" w14:textId="77777777" w:rsidR="00200454" w:rsidRDefault="00000000">
      <w:pPr>
        <w:ind w:firstLine="720"/>
        <w:jc w:val="both"/>
        <w:rPr>
          <w:rFonts w:ascii="Garamond" w:eastAsia="Garamond" w:hAnsi="Garamond" w:cs="Garamond"/>
        </w:rPr>
      </w:pPr>
      <w:r>
        <w:rPr>
          <w:rFonts w:ascii="Garamond" w:eastAsia="Garamond" w:hAnsi="Garamond" w:cs="Garamond"/>
        </w:rPr>
        <w:t>En concordancia con lo que dispone la Constitución, el artículo 190 del Código Nacional de Procedimientos Penales reconoce el derecho de las víctimas a recibir atención médica y psicológica de urgencia desde la comisión del delito, así como a recibir protección especial de su integridad física y psíquica. Por su parte, la Ley General de Víctimas, en sus artículos 29, 30, fracción IX y 35, establece de manera expresa que las instituciones hospitalarias públicas deben proporcionar a toda víctima de violación sexual los servicios de atención médica de emergencia, entre los cuales se encuentra la interrupción voluntaria del embarazo cuando éste sea producto de dicha agresión. Esta atención debe brindarse de forma inmediata, no puede condicionarse a denuncia o querella previa y debe otorgarse con absoluto respeto a la voluntad de la víctima.</w:t>
      </w:r>
    </w:p>
    <w:p w14:paraId="278AD365" w14:textId="77777777" w:rsidR="00200454" w:rsidRDefault="00200454">
      <w:pPr>
        <w:ind w:firstLine="720"/>
        <w:jc w:val="both"/>
        <w:rPr>
          <w:rFonts w:ascii="Garamond" w:eastAsia="Garamond" w:hAnsi="Garamond" w:cs="Garamond"/>
        </w:rPr>
      </w:pPr>
    </w:p>
    <w:p w14:paraId="13DC9931" w14:textId="77777777" w:rsidR="00200454" w:rsidRDefault="00000000">
      <w:pPr>
        <w:ind w:firstLine="720"/>
        <w:jc w:val="both"/>
        <w:rPr>
          <w:rFonts w:ascii="Garamond" w:eastAsia="Garamond" w:hAnsi="Garamond" w:cs="Garamond"/>
        </w:rPr>
      </w:pPr>
      <w:r>
        <w:rPr>
          <w:rFonts w:ascii="Garamond" w:eastAsia="Garamond" w:hAnsi="Garamond" w:cs="Garamond"/>
        </w:rPr>
        <w:t>Del mismo modo, el artículo 215 bis 6 del Reglamento de la Ley General de Salud en Materia de Prestación de Servicios de Atención Médica contempla que, en caso de emergencia médica, los Establecimientos para la Atención Médica del sector público no pueden negar esos servicios a las víctimas derivado de su condición socioeconómica o nacionalidad ni pueden condicionar su prestación a la presentación de la denuncia o querella.</w:t>
      </w:r>
    </w:p>
    <w:p w14:paraId="10EDBBEE" w14:textId="77777777" w:rsidR="00200454" w:rsidRDefault="00000000">
      <w:pPr>
        <w:jc w:val="both"/>
        <w:rPr>
          <w:rFonts w:ascii="Garamond" w:eastAsia="Garamond" w:hAnsi="Garamond" w:cs="Garamond"/>
        </w:rPr>
      </w:pPr>
      <w:r>
        <w:rPr>
          <w:rFonts w:ascii="Garamond" w:eastAsia="Garamond" w:hAnsi="Garamond" w:cs="Garamond"/>
          <w:i/>
          <w:iCs/>
        </w:rPr>
        <w:t xml:space="preserve"> </w:t>
      </w:r>
      <w:r>
        <w:rPr>
          <w:rFonts w:ascii="Garamond" w:eastAsia="Garamond" w:hAnsi="Garamond" w:cs="Garamond"/>
        </w:rPr>
        <w:t xml:space="preserve"> </w:t>
      </w:r>
    </w:p>
    <w:p w14:paraId="0B4F45BF" w14:textId="77777777" w:rsidR="00200454" w:rsidRDefault="00000000">
      <w:pPr>
        <w:ind w:firstLine="720"/>
        <w:jc w:val="both"/>
        <w:rPr>
          <w:rFonts w:ascii="Garamond" w:eastAsia="Garamond" w:hAnsi="Garamond" w:cs="Garamond"/>
        </w:rPr>
      </w:pPr>
      <w:r>
        <w:rPr>
          <w:rFonts w:ascii="Garamond" w:eastAsia="Garamond" w:hAnsi="Garamond" w:cs="Garamond"/>
        </w:rPr>
        <w:t>De manera destacada, la NOM-046 establece expresamente que:</w:t>
      </w:r>
    </w:p>
    <w:p w14:paraId="7B337145" w14:textId="77777777" w:rsidR="00200454" w:rsidRDefault="00000000">
      <w:pPr>
        <w:ind w:firstLine="280"/>
        <w:jc w:val="both"/>
        <w:rPr>
          <w:rFonts w:ascii="Garamond" w:eastAsia="Garamond" w:hAnsi="Garamond" w:cs="Garamond"/>
        </w:rPr>
      </w:pPr>
      <w:r>
        <w:rPr>
          <w:rFonts w:ascii="Garamond" w:eastAsia="Garamond" w:hAnsi="Garamond" w:cs="Garamond"/>
        </w:rPr>
        <w:t xml:space="preserve"> </w:t>
      </w:r>
    </w:p>
    <w:p w14:paraId="7F8D6FCE" w14:textId="77777777" w:rsidR="00200454" w:rsidRDefault="00000000">
      <w:pPr>
        <w:ind w:left="560" w:right="900"/>
        <w:jc w:val="both"/>
        <w:rPr>
          <w:rFonts w:ascii="Garamond" w:eastAsia="Garamond" w:hAnsi="Garamond" w:cs="Garamond"/>
          <w:sz w:val="22"/>
          <w:szCs w:val="22"/>
        </w:rPr>
      </w:pPr>
      <w:r>
        <w:rPr>
          <w:rFonts w:ascii="Garamond" w:eastAsia="Garamond" w:hAnsi="Garamond" w:cs="Garamond"/>
          <w:b/>
          <w:bCs/>
          <w:sz w:val="20"/>
          <w:szCs w:val="20"/>
        </w:rPr>
        <w:t>6.4.2.7. En caso de embarazo por violación, las instituciones públicas prestadoras de servicios de atención médica, deberán prestar servicios de interrupción voluntaria del embarazo en los casos permitidos por ley</w:t>
      </w:r>
      <w:r>
        <w:rPr>
          <w:rFonts w:ascii="Garamond" w:eastAsia="Garamond" w:hAnsi="Garamond" w:cs="Garamond"/>
          <w:sz w:val="20"/>
          <w:szCs w:val="20"/>
        </w:rPr>
        <w:t>, conforme a lo previsto en las disposiciones jurídicas de protección a los derechos de las víctimas, previa solicitud por escrito bajo protesta de decir verdad de la persona afectada de que dicho embarazo es producto de violación; en caso de ser menor de 12 años de edad, a solicitud de su padre y/o su madre, o a falta de éstos, de su tutor o conforme a las disposiciones jurídicas aplicables. El personal de salud que participe en el procedimiento de interrupción voluntaria del embarazo no estará obligado a verificar el dicho de la solicitante, entendiéndose su actuación, basada en el principio de buena fe a que hace referencia el artículo 5, de la Ley General de Víctimas.</w:t>
      </w:r>
    </w:p>
    <w:p w14:paraId="700728E5" w14:textId="77777777" w:rsidR="00200454" w:rsidRDefault="00000000">
      <w:pPr>
        <w:ind w:left="560" w:right="900"/>
        <w:jc w:val="both"/>
        <w:rPr>
          <w:rFonts w:ascii="Garamond" w:eastAsia="Garamond" w:hAnsi="Garamond" w:cs="Garamond"/>
          <w:sz w:val="22"/>
          <w:szCs w:val="22"/>
        </w:rPr>
      </w:pPr>
      <w:r>
        <w:rPr>
          <w:rFonts w:ascii="Garamond" w:eastAsia="Garamond" w:hAnsi="Garamond" w:cs="Garamond"/>
          <w:sz w:val="22"/>
          <w:szCs w:val="22"/>
        </w:rPr>
        <w:t>(…)</w:t>
      </w:r>
    </w:p>
    <w:p w14:paraId="5DB8CB28" w14:textId="77777777" w:rsidR="00200454" w:rsidRDefault="00000000">
      <w:pPr>
        <w:ind w:left="560" w:right="900"/>
        <w:jc w:val="both"/>
        <w:rPr>
          <w:rFonts w:ascii="Garamond" w:eastAsia="Garamond" w:hAnsi="Garamond" w:cs="Garamond"/>
          <w:b/>
          <w:bCs/>
          <w:sz w:val="22"/>
          <w:szCs w:val="22"/>
        </w:rPr>
      </w:pPr>
      <w:r>
        <w:rPr>
          <w:rFonts w:ascii="Garamond" w:eastAsia="Garamond" w:hAnsi="Garamond" w:cs="Garamond"/>
          <w:b/>
          <w:bCs/>
          <w:sz w:val="22"/>
          <w:szCs w:val="22"/>
        </w:rPr>
        <w:t xml:space="preserve"> </w:t>
      </w:r>
    </w:p>
    <w:p w14:paraId="1556A203" w14:textId="77777777" w:rsidR="00200454" w:rsidRDefault="00000000">
      <w:pPr>
        <w:ind w:left="560" w:right="900"/>
        <w:jc w:val="both"/>
        <w:rPr>
          <w:rFonts w:ascii="Garamond" w:eastAsia="Garamond" w:hAnsi="Garamond" w:cs="Garamond"/>
          <w:b/>
          <w:bCs/>
          <w:sz w:val="20"/>
          <w:szCs w:val="20"/>
        </w:rPr>
      </w:pPr>
      <w:r>
        <w:rPr>
          <w:rFonts w:ascii="Garamond" w:eastAsia="Garamond" w:hAnsi="Garamond" w:cs="Garamond"/>
          <w:b/>
          <w:bCs/>
          <w:sz w:val="20"/>
          <w:szCs w:val="20"/>
        </w:rPr>
        <w:t>6.6.1. Corresponde a las y los prestadores de servicios de salud informar a la persona afectada sobre su derecho a denunciar los hechos de violencia que se presenten</w:t>
      </w:r>
      <w:r>
        <w:rPr>
          <w:rFonts w:ascii="Garamond" w:eastAsia="Garamond" w:hAnsi="Garamond" w:cs="Garamond"/>
          <w:sz w:val="20"/>
          <w:szCs w:val="20"/>
        </w:rPr>
        <w:t xml:space="preserve">, así como de la existencia de la Comisión Ejecutiva de Atención a Víctimas y de las Comisiones Ejecutivas de las entidades federativas o sus equivalentes y de los centros de apoyo disponibles, responsables de orientar a las víctimas sobre los pasos a seguir para acceder a los servicios de atención, protección y defensa para quienes sufren de violencia familiar o sexual, </w:t>
      </w:r>
      <w:r>
        <w:rPr>
          <w:rFonts w:ascii="Garamond" w:eastAsia="Garamond" w:hAnsi="Garamond" w:cs="Garamond"/>
          <w:b/>
          <w:bCs/>
          <w:sz w:val="20"/>
          <w:szCs w:val="20"/>
        </w:rPr>
        <w:t>facilitando y respetando la autonomía en sus decisiones e invitando a continuar el seguimiento médico, psicológico y de trabajo social.</w:t>
      </w:r>
    </w:p>
    <w:p w14:paraId="379216D2" w14:textId="77777777" w:rsidR="00200454" w:rsidRDefault="00000000">
      <w:pPr>
        <w:ind w:right="40"/>
        <w:jc w:val="both"/>
        <w:rPr>
          <w:rFonts w:ascii="Garamond" w:eastAsia="Garamond" w:hAnsi="Garamond" w:cs="Garamond"/>
        </w:rPr>
      </w:pPr>
      <w:r>
        <w:rPr>
          <w:rFonts w:ascii="Garamond" w:eastAsia="Garamond" w:hAnsi="Garamond" w:cs="Garamond"/>
          <w:sz w:val="20"/>
          <w:szCs w:val="20"/>
        </w:rPr>
        <w:t xml:space="preserve"> </w:t>
      </w:r>
    </w:p>
    <w:p w14:paraId="7A8245EF" w14:textId="77777777" w:rsidR="00200454" w:rsidRDefault="00000000">
      <w:pPr>
        <w:ind w:right="40"/>
        <w:jc w:val="both"/>
        <w:rPr>
          <w:rFonts w:ascii="Garamond" w:eastAsia="Garamond" w:hAnsi="Garamond" w:cs="Garamond"/>
        </w:rPr>
      </w:pPr>
      <w:r>
        <w:rPr>
          <w:rFonts w:ascii="Garamond" w:eastAsia="Garamond" w:hAnsi="Garamond" w:cs="Garamond"/>
        </w:rPr>
        <w:t>A nivel local, el artículo 20 de la Ley de Víctimas del Estado de Aguascalientes reconoce expresamente la interrupción voluntaria del embarazo como medida de ayuda inmediata en casos permitidos por la ley, con absoluto respeto a la voluntad de la víctima.</w:t>
      </w:r>
    </w:p>
    <w:p w14:paraId="72C1E53F" w14:textId="77777777" w:rsidR="00200454" w:rsidRDefault="00000000">
      <w:pPr>
        <w:ind w:right="900"/>
        <w:jc w:val="both"/>
        <w:rPr>
          <w:rFonts w:ascii="Garamond" w:eastAsia="Garamond" w:hAnsi="Garamond" w:cs="Garamond"/>
          <w:sz w:val="22"/>
          <w:szCs w:val="22"/>
        </w:rPr>
      </w:pPr>
      <w:r>
        <w:rPr>
          <w:rFonts w:ascii="Garamond" w:eastAsia="Garamond" w:hAnsi="Garamond" w:cs="Garamond"/>
          <w:sz w:val="22"/>
          <w:szCs w:val="22"/>
        </w:rPr>
        <w:t xml:space="preserve"> </w:t>
      </w:r>
    </w:p>
    <w:p w14:paraId="138492CF" w14:textId="77777777" w:rsidR="00200454" w:rsidRDefault="00000000">
      <w:pPr>
        <w:ind w:firstLine="720"/>
        <w:jc w:val="both"/>
        <w:rPr>
          <w:rFonts w:ascii="Garamond" w:eastAsia="Garamond" w:hAnsi="Garamond" w:cs="Garamond"/>
        </w:rPr>
      </w:pPr>
      <w:r>
        <w:rPr>
          <w:rFonts w:ascii="Garamond" w:eastAsia="Garamond" w:hAnsi="Garamond" w:cs="Garamond"/>
        </w:rPr>
        <w:t>Así, existe una normativa comprensiva y extensiva que reconoce los derechos de las víctimas de violencia sexual a recibir atención médica y que incluso reconoce los servicios de interrupción voluntaria del embarazo como servicios médicos de atención inmediata en caso de violencia sexual y la obligación de la Secretaría de Salud de proveer dichos servicios a las mismas de manera oportuna.</w:t>
      </w:r>
    </w:p>
    <w:p w14:paraId="6000B87C" w14:textId="77777777" w:rsidR="00200454" w:rsidRDefault="00000000">
      <w:pPr>
        <w:ind w:firstLine="280"/>
        <w:jc w:val="both"/>
        <w:rPr>
          <w:rFonts w:ascii="Garamond" w:eastAsia="Garamond" w:hAnsi="Garamond" w:cs="Garamond"/>
          <w:sz w:val="22"/>
          <w:szCs w:val="22"/>
        </w:rPr>
      </w:pPr>
      <w:r>
        <w:rPr>
          <w:rFonts w:ascii="Garamond" w:eastAsia="Garamond" w:hAnsi="Garamond" w:cs="Garamond"/>
          <w:sz w:val="22"/>
          <w:szCs w:val="22"/>
        </w:rPr>
        <w:t xml:space="preserve"> </w:t>
      </w:r>
    </w:p>
    <w:p w14:paraId="16B24A1C" w14:textId="77777777" w:rsidR="00200454" w:rsidRDefault="00000000">
      <w:pPr>
        <w:ind w:firstLine="280"/>
        <w:jc w:val="both"/>
        <w:rPr>
          <w:rFonts w:ascii="Garamond" w:eastAsia="Garamond" w:hAnsi="Garamond" w:cs="Garamond"/>
        </w:rPr>
      </w:pPr>
      <w:r>
        <w:rPr>
          <w:rFonts w:ascii="Garamond" w:eastAsia="Garamond" w:hAnsi="Garamond" w:cs="Garamond"/>
        </w:rPr>
        <w:t xml:space="preserve">Ahora bien, en su calidad de autoridad debe considerar que las restricciones para acceder a los servicios de interrupción del embarazo producto de una violación ya han sido consideradas como violaciones a los derechos a la salud e integridad personal de las mujeres, inclusive, pueden llegar a ser consideradas como tratos crueles, </w:t>
      </w:r>
      <w:r>
        <w:rPr>
          <w:rFonts w:ascii="Garamond" w:eastAsia="Garamond" w:hAnsi="Garamond" w:cs="Garamond"/>
        </w:rPr>
        <w:lastRenderedPageBreak/>
        <w:t>inhumanos y degradantes, incluso de tortura.</w:t>
      </w:r>
      <w:r>
        <w:rPr>
          <w:rFonts w:ascii="Garamond" w:eastAsia="Garamond" w:hAnsi="Garamond" w:cs="Garamond"/>
          <w:vertAlign w:val="superscript"/>
        </w:rPr>
        <w:footnoteReference w:id="1"/>
      </w:r>
      <w:r>
        <w:rPr>
          <w:rFonts w:ascii="Garamond" w:eastAsia="Garamond" w:hAnsi="Garamond" w:cs="Garamond"/>
          <w:vertAlign w:val="superscript"/>
        </w:rPr>
        <w:t xml:space="preserve"> </w:t>
      </w:r>
      <w:r>
        <w:rPr>
          <w:rFonts w:ascii="Garamond" w:eastAsia="Garamond" w:hAnsi="Garamond" w:cs="Garamond"/>
        </w:rPr>
        <w:t xml:space="preserve">Al respecto, la Suprema Corte de Justicia de la Nación ha desarrollado una línea jurisprudencial consistente en la materia derivado de casos en los que las autoridades sanitarias han negado o dilatado la prestación del servicio de aborto por la edad gestacional del embarazo al momento de la solicitud. </w:t>
      </w:r>
    </w:p>
    <w:p w14:paraId="50D1DE93" w14:textId="77777777" w:rsidR="00200454" w:rsidRDefault="00000000">
      <w:pPr>
        <w:ind w:firstLine="280"/>
        <w:jc w:val="both"/>
        <w:rPr>
          <w:rFonts w:ascii="Garamond" w:eastAsia="Garamond" w:hAnsi="Garamond" w:cs="Garamond"/>
        </w:rPr>
      </w:pPr>
      <w:r>
        <w:rPr>
          <w:rFonts w:ascii="Garamond" w:eastAsia="Garamond" w:hAnsi="Garamond" w:cs="Garamond"/>
        </w:rPr>
        <w:t xml:space="preserve"> </w:t>
      </w:r>
    </w:p>
    <w:p w14:paraId="1E549568" w14:textId="77777777" w:rsidR="00200454" w:rsidRDefault="00000000">
      <w:pPr>
        <w:ind w:firstLine="720"/>
        <w:jc w:val="both"/>
        <w:rPr>
          <w:rFonts w:ascii="Garamond" w:eastAsia="Garamond" w:hAnsi="Garamond" w:cs="Garamond"/>
        </w:rPr>
      </w:pPr>
      <w:r>
        <w:rPr>
          <w:rFonts w:ascii="Garamond" w:eastAsia="Garamond" w:hAnsi="Garamond" w:cs="Garamond"/>
        </w:rPr>
        <w:t>En el Amparo en Revisión 601/2017</w:t>
      </w:r>
      <w:r>
        <w:rPr>
          <w:rFonts w:ascii="Garamond" w:eastAsia="Garamond" w:hAnsi="Garamond" w:cs="Garamond"/>
          <w:vertAlign w:val="superscript"/>
        </w:rPr>
        <w:footnoteReference w:id="2"/>
      </w:r>
      <w:r>
        <w:rPr>
          <w:rFonts w:ascii="Garamond" w:eastAsia="Garamond" w:hAnsi="Garamond" w:cs="Garamond"/>
        </w:rPr>
        <w:t xml:space="preserve"> determinó que la violación sexual constituye una forma de tortura y que negar el acceso a la interrupción del embarazo producto de la misma implica prolongar las consecuencias físicas y psicológicas de la agresión, pudiendo constituir trato cruel, inhumano o degradante.</w:t>
      </w:r>
    </w:p>
    <w:p w14:paraId="2DF46EC1" w14:textId="77777777" w:rsidR="00200454" w:rsidRDefault="00000000">
      <w:pPr>
        <w:jc w:val="both"/>
        <w:rPr>
          <w:rFonts w:ascii="Garamond" w:eastAsia="Garamond" w:hAnsi="Garamond" w:cs="Garamond"/>
        </w:rPr>
      </w:pPr>
      <w:r>
        <w:rPr>
          <w:rFonts w:ascii="Garamond" w:eastAsia="Garamond" w:hAnsi="Garamond" w:cs="Garamond"/>
        </w:rPr>
        <w:t xml:space="preserve"> </w:t>
      </w:r>
    </w:p>
    <w:p w14:paraId="1549AFE4" w14:textId="77777777" w:rsidR="00200454" w:rsidRDefault="00000000">
      <w:pPr>
        <w:shd w:val="clear" w:color="auto" w:fill="FFFFFF"/>
        <w:ind w:firstLine="720"/>
        <w:jc w:val="both"/>
        <w:rPr>
          <w:rFonts w:ascii="Garamond" w:eastAsia="Garamond" w:hAnsi="Garamond" w:cs="Garamond"/>
        </w:rPr>
      </w:pPr>
      <w:r>
        <w:rPr>
          <w:rFonts w:ascii="Garamond" w:eastAsia="Garamond" w:hAnsi="Garamond" w:cs="Garamond"/>
        </w:rPr>
        <w:t>En el Amparo en Revisión 1170/2017</w:t>
      </w:r>
      <w:r>
        <w:rPr>
          <w:rFonts w:ascii="Garamond" w:eastAsia="Garamond" w:hAnsi="Garamond" w:cs="Garamond"/>
          <w:vertAlign w:val="superscript"/>
        </w:rPr>
        <w:footnoteReference w:id="3"/>
      </w:r>
      <w:r>
        <w:rPr>
          <w:rFonts w:ascii="Garamond" w:eastAsia="Garamond" w:hAnsi="Garamond" w:cs="Garamond"/>
        </w:rPr>
        <w:t xml:space="preserve"> estableció que en los casos de violación sexual debe garantizarse sin dilación el acceso al aborto y considerarlo como urgentes, determinando que “la autoridad tiene el deber de garantizar, sin dilación alguna, los derechos que tiene una mujer como víctima de una violación sexual, entre ellos, el de conseguir la interrupción legal del embarazo de manera inmediata, lo que implica calificar de urgentes dichos casos, debiendo priorizar su atención para evitar que las consecuencias físicas y psicológicas se sigan desplegando en el tiempo”.</w:t>
      </w:r>
    </w:p>
    <w:p w14:paraId="46ED8622" w14:textId="77777777" w:rsidR="00200454" w:rsidRDefault="00200454">
      <w:pPr>
        <w:shd w:val="clear" w:color="auto" w:fill="FFFFFF"/>
        <w:ind w:firstLine="720"/>
        <w:jc w:val="both"/>
        <w:rPr>
          <w:rFonts w:ascii="Garamond" w:eastAsia="Garamond" w:hAnsi="Garamond" w:cs="Garamond"/>
        </w:rPr>
      </w:pPr>
    </w:p>
    <w:p w14:paraId="213FAB0F" w14:textId="77777777" w:rsidR="00200454" w:rsidRDefault="00000000">
      <w:pPr>
        <w:shd w:val="clear" w:color="auto" w:fill="FFFFFF"/>
        <w:ind w:firstLine="720"/>
        <w:jc w:val="both"/>
        <w:rPr>
          <w:rFonts w:ascii="Garamond" w:eastAsia="Garamond" w:hAnsi="Garamond" w:cs="Garamond"/>
        </w:rPr>
      </w:pPr>
      <w:r>
        <w:rPr>
          <w:rFonts w:ascii="Garamond" w:eastAsia="Garamond" w:hAnsi="Garamond" w:cs="Garamond"/>
        </w:rPr>
        <w:t>En el mismo sentido, el Amparo en Revisión 45/2018 reiteró que la imposición de obstáculos o limitaciones temporales injustificadas vulnera gravemente los derechos a la salud, integridad personal y autonomía reproductiva.</w:t>
      </w:r>
      <w:r>
        <w:rPr>
          <w:rFonts w:ascii="Garamond" w:eastAsia="Garamond" w:hAnsi="Garamond" w:cs="Garamond"/>
          <w:vertAlign w:val="superscript"/>
        </w:rPr>
        <w:footnoteReference w:id="4"/>
      </w:r>
    </w:p>
    <w:p w14:paraId="229216B9" w14:textId="77777777" w:rsidR="00200454" w:rsidRDefault="00200454">
      <w:pPr>
        <w:jc w:val="both"/>
        <w:rPr>
          <w:rFonts w:ascii="Garamond" w:eastAsia="Garamond" w:hAnsi="Garamond" w:cs="Garamond"/>
        </w:rPr>
      </w:pPr>
    </w:p>
    <w:p w14:paraId="597E7A7E" w14:textId="77777777" w:rsidR="00200454" w:rsidRDefault="00000000">
      <w:pPr>
        <w:ind w:firstLine="720"/>
        <w:jc w:val="both"/>
        <w:rPr>
          <w:rFonts w:ascii="Garamond" w:eastAsia="Garamond" w:hAnsi="Garamond" w:cs="Garamond"/>
        </w:rPr>
      </w:pPr>
      <w:r>
        <w:rPr>
          <w:rFonts w:ascii="Garamond" w:eastAsia="Garamond" w:hAnsi="Garamond" w:cs="Garamond"/>
        </w:rPr>
        <w:t>Por otro lado, en el Amparo en Revisión 438/2020</w:t>
      </w:r>
      <w:r>
        <w:rPr>
          <w:rFonts w:ascii="Garamond" w:eastAsia="Garamond" w:hAnsi="Garamond" w:cs="Garamond"/>
          <w:vertAlign w:val="superscript"/>
        </w:rPr>
        <w:footnoteReference w:id="5"/>
      </w:r>
      <w:r>
        <w:rPr>
          <w:rFonts w:ascii="Garamond" w:eastAsia="Garamond" w:hAnsi="Garamond" w:cs="Garamond"/>
        </w:rPr>
        <w:t>, el Alto Tribunal analizó la constitucionalidad de disposiciones que establecían un límite gestacional para acceder al aborto en casos de violación y concluyó que dicha restricción es inconstitucional. La Corte determinó que fijar un plazo máximo para acceder a la interrupción del embarazo traslada a la víctima la carga de las consecuencias del delito y desconoce la naturaleza misma de la violencia sexual, la cual produce efectos psicológicos, emocionales y sociales que pueden impedir denunciar o solicitar atención médica de manera inmediata.</w:t>
      </w:r>
    </w:p>
    <w:p w14:paraId="642E11F5" w14:textId="77777777" w:rsidR="00200454" w:rsidRDefault="00200454">
      <w:pPr>
        <w:ind w:firstLine="720"/>
        <w:jc w:val="both"/>
        <w:rPr>
          <w:rFonts w:ascii="Garamond" w:eastAsia="Garamond" w:hAnsi="Garamond" w:cs="Garamond"/>
        </w:rPr>
      </w:pPr>
    </w:p>
    <w:p w14:paraId="5673CA34" w14:textId="77777777" w:rsidR="00200454" w:rsidRDefault="00000000">
      <w:pPr>
        <w:ind w:firstLine="720"/>
        <w:jc w:val="both"/>
        <w:rPr>
          <w:rFonts w:ascii="Garamond" w:eastAsia="Garamond" w:hAnsi="Garamond" w:cs="Garamond"/>
        </w:rPr>
      </w:pPr>
      <w:r>
        <w:rPr>
          <w:rFonts w:ascii="Garamond" w:eastAsia="Garamond" w:hAnsi="Garamond" w:cs="Garamond"/>
        </w:rPr>
        <w:t>Asimismo, en el Amparo en Revisión 550/2022</w:t>
      </w:r>
      <w:r>
        <w:rPr>
          <w:rFonts w:ascii="Garamond" w:eastAsia="Garamond" w:hAnsi="Garamond" w:cs="Garamond"/>
          <w:vertAlign w:val="superscript"/>
        </w:rPr>
        <w:footnoteReference w:id="6"/>
      </w:r>
      <w:r>
        <w:rPr>
          <w:rFonts w:ascii="Garamond" w:eastAsia="Garamond" w:hAnsi="Garamond" w:cs="Garamond"/>
        </w:rPr>
        <w:t>, el Alto Tribunal consolidó el criterio de que la dilación en la prestación del servicio de aborto por violación son violatorios de los derechos a la salud, integridad personal, igualdad, autonomía reproductiva y derechos de las víctimas, y constituyen un trato cruel, inhumano e incluso degradante, por lo que ordenó medidas de reparación integral y garantías de no repetición, fijando el criterio de que los servicios de aborto legal deben brindarse con urgencia, diligencia reforzada y perspectiva de género cuando se trate de víctimas de violencia sexual.</w:t>
      </w:r>
    </w:p>
    <w:p w14:paraId="332123CE" w14:textId="77777777" w:rsidR="00200454" w:rsidRDefault="00200454">
      <w:pPr>
        <w:ind w:firstLine="720"/>
        <w:jc w:val="both"/>
        <w:rPr>
          <w:rFonts w:ascii="Garamond" w:eastAsia="Garamond" w:hAnsi="Garamond" w:cs="Garamond"/>
        </w:rPr>
      </w:pPr>
    </w:p>
    <w:p w14:paraId="1967536E" w14:textId="77777777" w:rsidR="00200454" w:rsidRDefault="00000000">
      <w:pPr>
        <w:ind w:firstLine="720"/>
        <w:jc w:val="both"/>
        <w:rPr>
          <w:rFonts w:ascii="Garamond" w:eastAsia="Garamond" w:hAnsi="Garamond" w:cs="Garamond"/>
        </w:rPr>
      </w:pPr>
      <w:r>
        <w:rPr>
          <w:rFonts w:ascii="Garamond" w:eastAsia="Garamond" w:hAnsi="Garamond" w:cs="Garamond"/>
        </w:rPr>
        <w:t xml:space="preserve">De estos precedentes se desprende que (i) La negativa, dilación o condicionamiento del servicio constituye una violación directa a derechos humanos. (ii) La autoridad administrativa no puede exigir requisitos adicionales a los previstos en la NOM-046 (iii) La limitación temporal del aborto por violación es inconstitucional </w:t>
      </w:r>
      <w:r>
        <w:rPr>
          <w:rFonts w:ascii="Garamond" w:eastAsia="Garamond" w:hAnsi="Garamond" w:cs="Garamond"/>
        </w:rPr>
        <w:lastRenderedPageBreak/>
        <w:t>por lo que la autoridad sanitaria no puede negar la prestación del servicio por ese motivo (iv) La atención debe considerarse urgente.</w:t>
      </w:r>
    </w:p>
    <w:p w14:paraId="2BF86247" w14:textId="77777777" w:rsidR="00200454" w:rsidRDefault="00200454">
      <w:pPr>
        <w:ind w:firstLine="720"/>
        <w:jc w:val="both"/>
        <w:rPr>
          <w:rFonts w:ascii="Garamond" w:eastAsia="Garamond" w:hAnsi="Garamond" w:cs="Garamond"/>
        </w:rPr>
      </w:pPr>
    </w:p>
    <w:p w14:paraId="72DF03EC" w14:textId="77777777" w:rsidR="00200454" w:rsidRDefault="00000000">
      <w:pPr>
        <w:ind w:firstLine="720"/>
        <w:jc w:val="both"/>
        <w:rPr>
          <w:rFonts w:ascii="Garamond" w:eastAsia="Garamond" w:hAnsi="Garamond" w:cs="Garamond"/>
        </w:rPr>
      </w:pPr>
      <w:r>
        <w:rPr>
          <w:rFonts w:ascii="Garamond" w:eastAsia="Garamond" w:hAnsi="Garamond" w:cs="Garamond"/>
        </w:rPr>
        <w:t xml:space="preserve">Con base en lo expuesto, atendiendo a la naturaleza y </w:t>
      </w:r>
      <w:r>
        <w:rPr>
          <w:rFonts w:ascii="Garamond" w:eastAsia="Garamond" w:hAnsi="Garamond" w:cs="Garamond"/>
          <w:b/>
          <w:bCs/>
        </w:rPr>
        <w:t>URGENCIA</w:t>
      </w:r>
      <w:r>
        <w:rPr>
          <w:rFonts w:ascii="Garamond" w:eastAsia="Garamond" w:hAnsi="Garamond" w:cs="Garamond"/>
        </w:rPr>
        <w:t xml:space="preserve"> de lo expuesto, solicito que, en un plazo máximo de </w:t>
      </w:r>
      <w:r>
        <w:rPr>
          <w:rFonts w:ascii="Garamond" w:eastAsia="Garamond" w:hAnsi="Garamond" w:cs="Garamond"/>
          <w:b/>
          <w:bCs/>
        </w:rPr>
        <w:t>48 horas</w:t>
      </w:r>
      <w:r>
        <w:rPr>
          <w:rFonts w:ascii="Garamond" w:eastAsia="Garamond" w:hAnsi="Garamond" w:cs="Garamond"/>
        </w:rPr>
        <w:t xml:space="preserve"> contadas a partir de la recepción de la presente, se tenga a bien acordar lo siguiente:</w:t>
      </w:r>
    </w:p>
    <w:p w14:paraId="70A67589" w14:textId="77777777" w:rsidR="00200454" w:rsidRDefault="00000000">
      <w:pPr>
        <w:jc w:val="both"/>
        <w:rPr>
          <w:rFonts w:ascii="Garamond" w:eastAsia="Garamond" w:hAnsi="Garamond" w:cs="Garamond"/>
          <w:b/>
          <w:bCs/>
          <w:smallCaps/>
        </w:rPr>
      </w:pPr>
      <w:r>
        <w:rPr>
          <w:rFonts w:ascii="Garamond" w:eastAsia="Garamond" w:hAnsi="Garamond" w:cs="Garamond"/>
          <w:b/>
          <w:bCs/>
          <w:smallCaps/>
        </w:rPr>
        <w:t xml:space="preserve"> </w:t>
      </w:r>
    </w:p>
    <w:p w14:paraId="3CF7EBE6" w14:textId="77777777" w:rsidR="00200454" w:rsidRDefault="00000000">
      <w:pPr>
        <w:jc w:val="both"/>
        <w:rPr>
          <w:rFonts w:ascii="Garamond" w:eastAsia="Garamond" w:hAnsi="Garamond" w:cs="Garamond"/>
        </w:rPr>
      </w:pPr>
      <w:r>
        <w:rPr>
          <w:rFonts w:ascii="Garamond" w:eastAsia="Garamond" w:hAnsi="Garamond" w:cs="Garamond"/>
          <w:b/>
          <w:bCs/>
        </w:rPr>
        <w:t xml:space="preserve">Primero. </w:t>
      </w:r>
      <w:r>
        <w:rPr>
          <w:rFonts w:ascii="Garamond" w:eastAsia="Garamond" w:hAnsi="Garamond" w:cs="Garamond"/>
        </w:rPr>
        <w:t>Se de respuesta a mi solicitud por escrito y debidamente fundada y motivada</w:t>
      </w:r>
    </w:p>
    <w:p w14:paraId="0E21BC63" w14:textId="77777777" w:rsidR="00200454" w:rsidRDefault="00200454">
      <w:pPr>
        <w:jc w:val="both"/>
        <w:rPr>
          <w:rFonts w:ascii="Garamond" w:eastAsia="Garamond" w:hAnsi="Garamond" w:cs="Garamond"/>
          <w:b/>
          <w:bCs/>
        </w:rPr>
      </w:pPr>
    </w:p>
    <w:p w14:paraId="3F44CFAC" w14:textId="77777777" w:rsidR="00200454" w:rsidRDefault="00000000">
      <w:pPr>
        <w:jc w:val="both"/>
        <w:rPr>
          <w:rFonts w:ascii="Garamond" w:eastAsia="Garamond" w:hAnsi="Garamond" w:cs="Garamond"/>
        </w:rPr>
      </w:pPr>
      <w:r>
        <w:rPr>
          <w:rFonts w:ascii="Garamond" w:eastAsia="Garamond" w:hAnsi="Garamond" w:cs="Garamond"/>
          <w:b/>
          <w:bCs/>
        </w:rPr>
        <w:t xml:space="preserve">Segundo. </w:t>
      </w:r>
      <w:r>
        <w:rPr>
          <w:rFonts w:ascii="Garamond" w:eastAsia="Garamond" w:hAnsi="Garamond" w:cs="Garamond"/>
        </w:rPr>
        <w:t>Se designe al personal médico debidamente capacitado que deberá practicar la interrupción legal del embarazo y,</w:t>
      </w:r>
    </w:p>
    <w:p w14:paraId="4DDFCBAE" w14:textId="77777777" w:rsidR="00200454" w:rsidRDefault="00000000">
      <w:pPr>
        <w:ind w:firstLine="280"/>
        <w:jc w:val="both"/>
        <w:rPr>
          <w:rFonts w:ascii="Garamond" w:eastAsia="Garamond" w:hAnsi="Garamond" w:cs="Garamond"/>
          <w:b/>
          <w:bCs/>
        </w:rPr>
      </w:pPr>
      <w:r>
        <w:rPr>
          <w:rFonts w:ascii="Garamond" w:eastAsia="Garamond" w:hAnsi="Garamond" w:cs="Garamond"/>
          <w:b/>
          <w:bCs/>
        </w:rPr>
        <w:t xml:space="preserve"> </w:t>
      </w:r>
    </w:p>
    <w:p w14:paraId="1D95B605" w14:textId="77777777" w:rsidR="00200454" w:rsidRDefault="00000000">
      <w:pPr>
        <w:jc w:val="both"/>
        <w:rPr>
          <w:rFonts w:ascii="Garamond" w:eastAsia="Garamond" w:hAnsi="Garamond" w:cs="Garamond"/>
        </w:rPr>
      </w:pPr>
      <w:r>
        <w:rPr>
          <w:rFonts w:ascii="Garamond" w:eastAsia="Garamond" w:hAnsi="Garamond" w:cs="Garamond"/>
          <w:b/>
          <w:bCs/>
        </w:rPr>
        <w:t xml:space="preserve">Tercero. </w:t>
      </w:r>
      <w:r>
        <w:rPr>
          <w:rFonts w:ascii="Garamond" w:eastAsia="Garamond" w:hAnsi="Garamond" w:cs="Garamond"/>
        </w:rPr>
        <w:t>Se señale fecha y hora para realizar el procedimiento médico de urgencia solicitado.</w:t>
      </w:r>
    </w:p>
    <w:p w14:paraId="13748F32" w14:textId="77777777" w:rsidR="00200454" w:rsidRDefault="00000000">
      <w:pPr>
        <w:jc w:val="both"/>
        <w:rPr>
          <w:rFonts w:ascii="Garamond" w:eastAsia="Garamond" w:hAnsi="Garamond" w:cs="Garamond"/>
        </w:rPr>
      </w:pPr>
      <w:r>
        <w:rPr>
          <w:rFonts w:ascii="Garamond" w:eastAsia="Garamond" w:hAnsi="Garamond" w:cs="Garamond"/>
        </w:rPr>
        <w:t xml:space="preserve"> </w:t>
      </w:r>
    </w:p>
    <w:p w14:paraId="79A63F89" w14:textId="77777777" w:rsidR="00200454" w:rsidRDefault="00200454">
      <w:pPr>
        <w:jc w:val="both"/>
        <w:rPr>
          <w:rFonts w:ascii="Garamond" w:eastAsia="Garamond" w:hAnsi="Garamond" w:cs="Garamond"/>
        </w:rPr>
      </w:pPr>
    </w:p>
    <w:p w14:paraId="79E06AD2" w14:textId="77777777" w:rsidR="00200454" w:rsidRDefault="00000000">
      <w:pPr>
        <w:jc w:val="right"/>
        <w:rPr>
          <w:rFonts w:ascii="Garamond" w:eastAsia="Garamond" w:hAnsi="Garamond" w:cs="Garamond"/>
        </w:rPr>
      </w:pPr>
      <w:r>
        <w:rPr>
          <w:rFonts w:ascii="Garamond" w:eastAsia="Garamond" w:hAnsi="Garamond" w:cs="Garamond"/>
        </w:rPr>
        <w:t>Fecha de su presentación</w:t>
      </w:r>
    </w:p>
    <w:p w14:paraId="316EE477" w14:textId="77777777" w:rsidR="00200454" w:rsidRDefault="00000000">
      <w:pPr>
        <w:jc w:val="right"/>
        <w:rPr>
          <w:rFonts w:ascii="Garamond" w:eastAsia="Garamond" w:hAnsi="Garamond" w:cs="Garamond"/>
        </w:rPr>
      </w:pPr>
      <w:r>
        <w:rPr>
          <w:rFonts w:ascii="Garamond" w:eastAsia="Garamond" w:hAnsi="Garamond" w:cs="Garamond"/>
        </w:rPr>
        <w:t xml:space="preserve"> </w:t>
      </w:r>
    </w:p>
    <w:p w14:paraId="063F6B8C" w14:textId="77777777" w:rsidR="00200454" w:rsidRDefault="00000000">
      <w:pPr>
        <w:jc w:val="right"/>
        <w:rPr>
          <w:rFonts w:ascii="Garamond" w:eastAsia="Garamond" w:hAnsi="Garamond" w:cs="Garamond"/>
        </w:rPr>
      </w:pPr>
      <w:r>
        <w:rPr>
          <w:rFonts w:ascii="Garamond" w:eastAsia="Garamond" w:hAnsi="Garamond" w:cs="Garamond"/>
        </w:rPr>
        <w:t xml:space="preserve"> </w:t>
      </w:r>
    </w:p>
    <w:p w14:paraId="4A0D83D2" w14:textId="77777777" w:rsidR="00200454" w:rsidRDefault="00000000">
      <w:pPr>
        <w:jc w:val="center"/>
        <w:rPr>
          <w:rFonts w:ascii="Garamond" w:eastAsia="Garamond" w:hAnsi="Garamond" w:cs="Garamond"/>
        </w:rPr>
      </w:pPr>
      <w:r>
        <w:rPr>
          <w:rFonts w:ascii="Garamond" w:eastAsia="Garamond" w:hAnsi="Garamond" w:cs="Garamond"/>
        </w:rPr>
        <w:t>Atentamente,</w:t>
      </w:r>
    </w:p>
    <w:p w14:paraId="0386DE58" w14:textId="77777777" w:rsidR="00200454" w:rsidRDefault="00000000">
      <w:pPr>
        <w:jc w:val="center"/>
        <w:rPr>
          <w:rFonts w:ascii="Garamond" w:eastAsia="Garamond" w:hAnsi="Garamond" w:cs="Garamond"/>
        </w:rPr>
      </w:pPr>
      <w:r>
        <w:rPr>
          <w:rFonts w:ascii="Garamond" w:eastAsia="Garamond" w:hAnsi="Garamond" w:cs="Garamond"/>
        </w:rPr>
        <w:t xml:space="preserve"> </w:t>
      </w:r>
    </w:p>
    <w:p w14:paraId="680C7B48" w14:textId="77777777" w:rsidR="00200454" w:rsidRDefault="00000000">
      <w:pPr>
        <w:jc w:val="center"/>
        <w:rPr>
          <w:rFonts w:ascii="Garamond" w:eastAsia="Garamond" w:hAnsi="Garamond" w:cs="Garamond"/>
        </w:rPr>
      </w:pPr>
      <w:r>
        <w:rPr>
          <w:rFonts w:ascii="Garamond" w:eastAsia="Garamond" w:hAnsi="Garamond" w:cs="Garamond"/>
        </w:rPr>
        <w:t xml:space="preserve"> </w:t>
      </w:r>
    </w:p>
    <w:p w14:paraId="41E26487" w14:textId="77777777" w:rsidR="00200454" w:rsidRDefault="00000000">
      <w:pPr>
        <w:jc w:val="center"/>
        <w:rPr>
          <w:rFonts w:ascii="Garamond" w:eastAsia="Garamond" w:hAnsi="Garamond" w:cs="Garamond"/>
        </w:rPr>
      </w:pPr>
      <w:r>
        <w:rPr>
          <w:rFonts w:ascii="Garamond" w:eastAsia="Garamond" w:hAnsi="Garamond" w:cs="Garamond"/>
        </w:rPr>
        <w:t xml:space="preserve"> </w:t>
      </w:r>
    </w:p>
    <w:p w14:paraId="2537740C" w14:textId="77777777" w:rsidR="00200454" w:rsidRDefault="00000000">
      <w:pPr>
        <w:jc w:val="center"/>
        <w:rPr>
          <w:rFonts w:ascii="Garamond" w:eastAsia="Garamond" w:hAnsi="Garamond" w:cs="Garamond"/>
        </w:rPr>
      </w:pPr>
      <w:r>
        <w:rPr>
          <w:rFonts w:ascii="Garamond" w:eastAsia="Garamond" w:hAnsi="Garamond" w:cs="Garamond"/>
        </w:rPr>
        <w:t>__________________________</w:t>
      </w:r>
    </w:p>
    <w:p w14:paraId="5B6BC481" w14:textId="77777777" w:rsidR="00200454" w:rsidRDefault="00000000">
      <w:pPr>
        <w:jc w:val="center"/>
        <w:rPr>
          <w:rFonts w:ascii="Garamond" w:eastAsia="Garamond" w:hAnsi="Garamond" w:cs="Garamond"/>
          <w:highlight w:val="yellow"/>
        </w:rPr>
      </w:pPr>
      <w:r>
        <w:rPr>
          <w:rFonts w:ascii="Garamond" w:eastAsia="Garamond" w:hAnsi="Garamond" w:cs="Garamond"/>
          <w:b/>
          <w:bCs/>
        </w:rPr>
        <w:t>[</w:t>
      </w:r>
      <w:r>
        <w:rPr>
          <w:rFonts w:ascii="Garamond" w:eastAsia="Garamond" w:hAnsi="Garamond" w:cs="Garamond"/>
          <w:b/>
          <w:bCs/>
          <w:shd w:val="clear" w:color="auto" w:fill="FFD966"/>
        </w:rPr>
        <w:t>NOMBRE Y FIRMA DE LA PERSONA QUE DESEA ABORTAR</w:t>
      </w:r>
      <w:r>
        <w:rPr>
          <w:rFonts w:ascii="Garamond" w:eastAsia="Garamond" w:hAnsi="Garamond" w:cs="Garamond"/>
          <w:b/>
          <w:bCs/>
        </w:rPr>
        <w:t>]</w:t>
      </w:r>
    </w:p>
    <w:p w14:paraId="505E6207" w14:textId="77777777" w:rsidR="00200454" w:rsidRDefault="00200454">
      <w:pPr>
        <w:rPr>
          <w:rFonts w:ascii="Garamond" w:eastAsia="Garamond" w:hAnsi="Garamond" w:cs="Garamond"/>
        </w:rPr>
      </w:pPr>
    </w:p>
    <w:p w14:paraId="4FE3863A" w14:textId="77777777" w:rsidR="00200454" w:rsidRDefault="00200454">
      <w:pPr>
        <w:rPr>
          <w:rFonts w:ascii="Garamond" w:eastAsia="Garamond" w:hAnsi="Garamond" w:cs="Garamond"/>
        </w:rPr>
      </w:pPr>
    </w:p>
    <w:p w14:paraId="66A1372F" w14:textId="77777777" w:rsidR="00200454" w:rsidRDefault="00200454">
      <w:pPr>
        <w:rPr>
          <w:rFonts w:ascii="Garamond" w:eastAsia="Garamond" w:hAnsi="Garamond" w:cs="Garamond"/>
        </w:rPr>
      </w:pPr>
    </w:p>
    <w:sectPr w:rsidR="00200454">
      <w:headerReference w:type="first" r:id="rId8"/>
      <w:pgSz w:w="12240" w:h="15840"/>
      <w:pgMar w:top="851" w:right="964" w:bottom="851" w:left="96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60F5" w14:textId="77777777" w:rsidR="00ED1916" w:rsidRDefault="00ED1916">
      <w:r>
        <w:separator/>
      </w:r>
    </w:p>
  </w:endnote>
  <w:endnote w:type="continuationSeparator" w:id="0">
    <w:p w14:paraId="54C8DA23" w14:textId="77777777" w:rsidR="00ED1916" w:rsidRDefault="00ED1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94CAD59-D20F-4E2E-BEAE-06D06EDD001F}"/>
    <w:embedBold r:id="rId2" w:fontKey="{C60AB1CA-9D77-417B-ADC0-39AA9D2A3FE4}"/>
  </w:font>
  <w:font w:name="Minion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3" w:fontKey="{AC70516B-50DF-4BA9-A968-4356B6F0D07F}"/>
  </w:font>
  <w:font w:name="Garamond">
    <w:panose1 w:val="02020404030301010803"/>
    <w:charset w:val="00"/>
    <w:family w:val="roman"/>
    <w:pitch w:val="variable"/>
    <w:sig w:usb0="00000287" w:usb1="00000000" w:usb2="00000000" w:usb3="00000000" w:csb0="0000009F" w:csb1="00000000"/>
    <w:embedRegular r:id="rId4" w:fontKey="{FF1ADF3B-BA5A-4A2F-AA1A-9988B5530BDF}"/>
    <w:embedBold r:id="rId5" w:fontKey="{E0DD6C50-686E-474B-B0E8-B72D5D302BCD}"/>
    <w:embedItalic r:id="rId6" w:fontKey="{3BAB4F03-61DD-4E5B-84F9-74198AF9FB07}"/>
    <w:embedBoldItalic r:id="rId7" w:fontKey="{945F921A-25AE-476E-B502-DEDD65059AFD}"/>
  </w:font>
  <w:font w:name="Calibri Light">
    <w:panose1 w:val="020F0302020204030204"/>
    <w:charset w:val="00"/>
    <w:family w:val="swiss"/>
    <w:pitch w:val="variable"/>
    <w:sig w:usb0="E4002EFF" w:usb1="C200247B" w:usb2="00000009" w:usb3="00000000" w:csb0="000001FF" w:csb1="00000000"/>
    <w:embedRegular r:id="rId8" w:fontKey="{6E98DFD0-B2E7-49E8-A65F-7D8E5A14D15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67CC0" w14:textId="77777777" w:rsidR="00ED1916" w:rsidRDefault="00ED1916">
      <w:r>
        <w:separator/>
      </w:r>
    </w:p>
  </w:footnote>
  <w:footnote w:type="continuationSeparator" w:id="0">
    <w:p w14:paraId="17EA43C4" w14:textId="77777777" w:rsidR="00ED1916" w:rsidRDefault="00ED1916">
      <w:r>
        <w:continuationSeparator/>
      </w:r>
    </w:p>
  </w:footnote>
  <w:footnote w:id="1">
    <w:p w14:paraId="673C8826" w14:textId="77777777" w:rsidR="00200454" w:rsidRDefault="00000000">
      <w:pPr>
        <w:rPr>
          <w:sz w:val="20"/>
          <w:szCs w:val="20"/>
        </w:rPr>
      </w:pPr>
      <w:r>
        <w:rPr>
          <w:vertAlign w:val="superscript"/>
        </w:rPr>
        <w:footnoteRef/>
      </w:r>
      <w:r>
        <w:rPr>
          <w:sz w:val="20"/>
          <w:szCs w:val="20"/>
        </w:rPr>
        <w:t xml:space="preserve"> </w:t>
      </w:r>
      <w:r>
        <w:rPr>
          <w:rFonts w:ascii="Garamond" w:eastAsia="Garamond" w:hAnsi="Garamond" w:cs="Garamond"/>
          <w:sz w:val="20"/>
          <w:szCs w:val="20"/>
        </w:rPr>
        <w:t>Ver, Informe del Relator Especial sobre la Tortura y otros Tratos o Penas Crueles, Inhumanos o Degradantes. Juan E. Méndez, 1 de febrero 2013.</w:t>
      </w:r>
    </w:p>
  </w:footnote>
  <w:footnote w:id="2">
    <w:p w14:paraId="184015D0" w14:textId="77777777" w:rsidR="00200454" w:rsidRDefault="00000000">
      <w:pPr>
        <w:rPr>
          <w:rFonts w:ascii="Garamond" w:eastAsia="Garamond" w:hAnsi="Garamond" w:cs="Garamond"/>
          <w:sz w:val="20"/>
          <w:szCs w:val="20"/>
        </w:rPr>
      </w:pPr>
      <w:r>
        <w:rPr>
          <w:vertAlign w:val="superscript"/>
        </w:rPr>
        <w:footnoteRef/>
      </w:r>
      <w:r>
        <w:rPr>
          <w:rFonts w:ascii="Garamond" w:eastAsia="Garamond" w:hAnsi="Garamond" w:cs="Garamond"/>
          <w:sz w:val="20"/>
          <w:szCs w:val="20"/>
        </w:rPr>
        <w:t xml:space="preserve"> Amparo en Revisión 601/2017 resuelto en sesión de la Segunda Sala de la Suprema Corte el 4 de abril de 2018. Disponible en: </w:t>
      </w:r>
      <w:hyperlink r:id="rId1">
        <w:r>
          <w:rPr>
            <w:rFonts w:ascii="Garamond" w:eastAsia="Garamond" w:hAnsi="Garamond" w:cs="Garamond"/>
            <w:color w:val="1155CC"/>
            <w:sz w:val="20"/>
            <w:szCs w:val="20"/>
            <w:u w:val="single"/>
          </w:rPr>
          <w:t>https://www2.scjn.gob.mx/ConsultasTematica/Detalle/218421</w:t>
        </w:r>
      </w:hyperlink>
    </w:p>
  </w:footnote>
  <w:footnote w:id="3">
    <w:p w14:paraId="6D9197A3" w14:textId="77777777" w:rsidR="00200454" w:rsidRDefault="00000000">
      <w:pPr>
        <w:rPr>
          <w:sz w:val="20"/>
          <w:szCs w:val="20"/>
        </w:rPr>
      </w:pPr>
      <w:r>
        <w:rPr>
          <w:vertAlign w:val="superscript"/>
        </w:rPr>
        <w:footnoteRef/>
      </w:r>
      <w:r>
        <w:rPr>
          <w:sz w:val="20"/>
          <w:szCs w:val="20"/>
        </w:rPr>
        <w:t xml:space="preserve"> </w:t>
      </w:r>
      <w:r>
        <w:rPr>
          <w:rFonts w:ascii="Garamond" w:eastAsia="Garamond" w:hAnsi="Garamond" w:cs="Garamond"/>
          <w:sz w:val="20"/>
          <w:szCs w:val="20"/>
        </w:rPr>
        <w:t xml:space="preserve">Amparo en Revisión 1170/2017 resuelto en sesión de la Segunda Sala de la Suprema Corte de Justicia de la Nación, el 18 de abril de 2018. Disponible en: </w:t>
      </w:r>
      <w:hyperlink r:id="rId2">
        <w:r>
          <w:rPr>
            <w:rFonts w:ascii="Garamond" w:eastAsia="Garamond" w:hAnsi="Garamond" w:cs="Garamond"/>
            <w:color w:val="1155CC"/>
            <w:sz w:val="20"/>
            <w:szCs w:val="20"/>
            <w:u w:val="single"/>
          </w:rPr>
          <w:t>https://www2.scjn.gob.mx/ConsultasTematica/Detalle/225783</w:t>
        </w:r>
      </w:hyperlink>
    </w:p>
  </w:footnote>
  <w:footnote w:id="4">
    <w:p w14:paraId="05734892" w14:textId="77777777" w:rsidR="00200454" w:rsidRDefault="00000000">
      <w:pPr>
        <w:rPr>
          <w:rFonts w:ascii="Garamond" w:eastAsia="Garamond" w:hAnsi="Garamond" w:cs="Garamond"/>
          <w:sz w:val="20"/>
          <w:szCs w:val="20"/>
        </w:rPr>
      </w:pPr>
      <w:r>
        <w:rPr>
          <w:vertAlign w:val="superscript"/>
        </w:rPr>
        <w:footnoteRef/>
      </w:r>
      <w:r>
        <w:rPr>
          <w:rFonts w:ascii="Garamond" w:eastAsia="Garamond" w:hAnsi="Garamond" w:cs="Garamond"/>
          <w:sz w:val="20"/>
          <w:szCs w:val="20"/>
        </w:rPr>
        <w:t xml:space="preserve"> Amparo en Revisión 45/2018 Resuelto en sesión de la Primera Sala de la Suprema Corte de Justicia de la Nación de 23 de febrero de 2022.  Disponible en: </w:t>
      </w:r>
      <w:hyperlink r:id="rId3">
        <w:r>
          <w:rPr>
            <w:rFonts w:ascii="Garamond" w:eastAsia="Garamond" w:hAnsi="Garamond" w:cs="Garamond"/>
            <w:color w:val="1155CC"/>
            <w:sz w:val="20"/>
            <w:szCs w:val="20"/>
            <w:u w:val="single"/>
          </w:rPr>
          <w:t>https://www2.scjn.gob.mx/ConsultasTematica/Detalle/229672</w:t>
        </w:r>
      </w:hyperlink>
    </w:p>
  </w:footnote>
  <w:footnote w:id="5">
    <w:p w14:paraId="32B3C25C" w14:textId="77777777" w:rsidR="00200454" w:rsidRDefault="00000000">
      <w:pPr>
        <w:rPr>
          <w:sz w:val="20"/>
          <w:szCs w:val="20"/>
        </w:rPr>
      </w:pPr>
      <w:r>
        <w:rPr>
          <w:vertAlign w:val="superscript"/>
        </w:rPr>
        <w:footnoteRef/>
      </w:r>
      <w:r>
        <w:rPr>
          <w:rFonts w:ascii="Garamond" w:eastAsia="Garamond" w:hAnsi="Garamond" w:cs="Garamond"/>
          <w:sz w:val="20"/>
          <w:szCs w:val="20"/>
        </w:rPr>
        <w:t xml:space="preserve"> Resuelto en sesión de la Primera Sala de la Suprema Corte de Justicia de la Nación el  07 de julio de 2021. Disponible en: </w:t>
      </w:r>
      <w:hyperlink r:id="rId4">
        <w:r>
          <w:rPr>
            <w:rFonts w:ascii="Garamond" w:eastAsia="Garamond" w:hAnsi="Garamond" w:cs="Garamond"/>
            <w:color w:val="1155CC"/>
            <w:sz w:val="20"/>
            <w:szCs w:val="20"/>
            <w:u w:val="single"/>
          </w:rPr>
          <w:t>https://www2.scjn.gob.mx/ConsultasTematica/Detalle/275054</w:t>
        </w:r>
      </w:hyperlink>
    </w:p>
  </w:footnote>
  <w:footnote w:id="6">
    <w:p w14:paraId="35341B8A" w14:textId="77777777" w:rsidR="00200454" w:rsidRDefault="00000000">
      <w:pPr>
        <w:rPr>
          <w:rFonts w:ascii="Garamond" w:eastAsia="Garamond" w:hAnsi="Garamond" w:cs="Garamond"/>
          <w:sz w:val="20"/>
          <w:szCs w:val="20"/>
        </w:rPr>
      </w:pPr>
      <w:r>
        <w:rPr>
          <w:vertAlign w:val="superscript"/>
        </w:rPr>
        <w:footnoteRef/>
      </w:r>
      <w:r>
        <w:rPr>
          <w:rFonts w:ascii="Garamond" w:eastAsia="Garamond" w:hAnsi="Garamond" w:cs="Garamond"/>
          <w:sz w:val="20"/>
          <w:szCs w:val="20"/>
        </w:rPr>
        <w:t xml:space="preserve"> Amparo en Revisión 550/2022 resuelto en sesión de la Primera Sala de la Suprema Corte de Justicia de la Nación el 22 de mayo de 2024. Disponible en: </w:t>
      </w:r>
      <w:hyperlink r:id="rId5">
        <w:r>
          <w:rPr>
            <w:rFonts w:ascii="Garamond" w:eastAsia="Garamond" w:hAnsi="Garamond" w:cs="Garamond"/>
            <w:color w:val="1155CC"/>
            <w:sz w:val="20"/>
            <w:szCs w:val="20"/>
            <w:u w:val="single"/>
          </w:rPr>
          <w:t>https://www2.scjn.gob.mx/ConsultasTematica/Detalle/303639</w:t>
        </w:r>
      </w:hyperlink>
    </w:p>
    <w:p w14:paraId="2B1147FD" w14:textId="77777777" w:rsidR="00200454" w:rsidRDefault="00200454">
      <w:pPr>
        <w:rPr>
          <w:rFonts w:ascii="Garamond" w:eastAsia="Garamond" w:hAnsi="Garamond" w:cs="Garamond"/>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CE43" w14:textId="77777777" w:rsidR="00200454" w:rsidRDefault="00200454">
    <w:pPr>
      <w:pBdr>
        <w:top w:val="nil"/>
        <w:left w:val="nil"/>
        <w:bottom w:val="nil"/>
        <w:right w:val="nil"/>
        <w:between w:val="nil"/>
      </w:pBdr>
      <w:tabs>
        <w:tab w:val="center" w:pos="4680"/>
        <w:tab w:val="right" w:pos="9360"/>
      </w:tabs>
      <w:rPr>
        <w:color w:val="000000"/>
      </w:rPr>
    </w:pPr>
  </w:p>
  <w:tbl>
    <w:tblPr>
      <w:tblStyle w:val="a"/>
      <w:tblW w:w="10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296"/>
    </w:tblGrid>
    <w:tr w:rsidR="00200454" w14:paraId="59BE0928" w14:textId="77777777">
      <w:tc>
        <w:tcPr>
          <w:tcW w:w="10296" w:type="dxa"/>
        </w:tcPr>
        <w:p w14:paraId="488CB9BB" w14:textId="77777777" w:rsidR="00200454" w:rsidRDefault="00200454">
          <w:pPr>
            <w:pBdr>
              <w:top w:val="nil"/>
              <w:left w:val="nil"/>
              <w:bottom w:val="nil"/>
              <w:right w:val="nil"/>
              <w:between w:val="nil"/>
            </w:pBdr>
            <w:tabs>
              <w:tab w:val="center" w:pos="4680"/>
              <w:tab w:val="right" w:pos="9360"/>
            </w:tabs>
            <w:rPr>
              <w:color w:val="000000"/>
            </w:rPr>
          </w:pPr>
        </w:p>
      </w:tc>
    </w:tr>
  </w:tbl>
  <w:p w14:paraId="6A7235A5" w14:textId="77777777" w:rsidR="00200454" w:rsidRDefault="0020045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7433D"/>
    <w:multiLevelType w:val="multilevel"/>
    <w:tmpl w:val="4478320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7911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454"/>
    <w:rsid w:val="00200454"/>
    <w:rsid w:val="00A83BAB"/>
    <w:rsid w:val="00E71E17"/>
    <w:rsid w:val="00ED19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0112CDEA"/>
  <w15:docId w15:val="{7E9E5FB0-8328-4E98-81E9-1A95EAE0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styleId="Tablaconcuadrcula">
    <w:name w:val="Table Grid"/>
    <w:basedOn w:val="Tablanormal"/>
    <w:uiPriority w:val="39"/>
    <w:rsid w:val="008E5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8E5F12"/>
    <w:pPr>
      <w:autoSpaceDE w:val="0"/>
      <w:autoSpaceDN w:val="0"/>
      <w:adjustRightInd w:val="0"/>
      <w:spacing w:line="288" w:lineRule="auto"/>
      <w:textAlignment w:val="center"/>
    </w:pPr>
    <w:rPr>
      <w:rFonts w:ascii="Minion Pro" w:eastAsiaTheme="minorHAnsi" w:hAnsi="Minion Pro" w:cs="Minion Pro"/>
      <w:color w:val="000000"/>
      <w:lang w:val="es-ES_tradnl"/>
    </w:rPr>
  </w:style>
  <w:style w:type="paragraph" w:styleId="Encabezado">
    <w:name w:val="header"/>
    <w:basedOn w:val="Normal"/>
    <w:link w:val="EncabezadoCar"/>
    <w:uiPriority w:val="99"/>
    <w:unhideWhenUsed/>
    <w:rsid w:val="008E5F12"/>
    <w:pPr>
      <w:tabs>
        <w:tab w:val="center" w:pos="4680"/>
        <w:tab w:val="right" w:pos="9360"/>
      </w:tabs>
    </w:pPr>
  </w:style>
  <w:style w:type="character" w:customStyle="1" w:styleId="EncabezadoCar">
    <w:name w:val="Encabezado Car"/>
    <w:basedOn w:val="Fuentedeprrafopredeter"/>
    <w:link w:val="Encabezado"/>
    <w:uiPriority w:val="99"/>
    <w:rsid w:val="008E5F12"/>
    <w:rPr>
      <w:rFonts w:eastAsiaTheme="minorEastAsia"/>
      <w:kern w:val="0"/>
      <w:sz w:val="24"/>
      <w:szCs w:val="24"/>
    </w:rPr>
  </w:style>
  <w:style w:type="paragraph" w:styleId="Piedepgina">
    <w:name w:val="footer"/>
    <w:basedOn w:val="Normal"/>
    <w:link w:val="PiedepginaCar"/>
    <w:uiPriority w:val="99"/>
    <w:unhideWhenUsed/>
    <w:rsid w:val="008E5F12"/>
    <w:pPr>
      <w:tabs>
        <w:tab w:val="center" w:pos="4680"/>
        <w:tab w:val="right" w:pos="9360"/>
      </w:tabs>
    </w:pPr>
  </w:style>
  <w:style w:type="character" w:customStyle="1" w:styleId="PiedepginaCar">
    <w:name w:val="Pie de página Car"/>
    <w:basedOn w:val="Fuentedeprrafopredeter"/>
    <w:link w:val="Piedepgina"/>
    <w:uiPriority w:val="99"/>
    <w:rsid w:val="008E5F12"/>
    <w:rPr>
      <w:rFonts w:eastAsiaTheme="minorEastAsia"/>
      <w:kern w:val="0"/>
      <w:sz w:val="24"/>
      <w:szCs w:val="24"/>
    </w:rPr>
  </w:style>
  <w:style w:type="paragraph" w:styleId="Sinespaciado">
    <w:name w:val="No Spacing"/>
    <w:aliases w:val="RESOLUTIVOS"/>
    <w:link w:val="SinespaciadoCar"/>
    <w:uiPriority w:val="1"/>
    <w:qFormat/>
    <w:rsid w:val="008E5F12"/>
    <w:rPr>
      <w:rFonts w:eastAsiaTheme="minorEastAsia"/>
    </w:rPr>
  </w:style>
  <w:style w:type="character" w:customStyle="1" w:styleId="SinespaciadoCar">
    <w:name w:val="Sin espaciado Car"/>
    <w:aliases w:val="RESOLUTIVOS Car"/>
    <w:basedOn w:val="Fuentedeprrafopredeter"/>
    <w:link w:val="Sinespaciado"/>
    <w:uiPriority w:val="1"/>
    <w:locked/>
    <w:rsid w:val="008E5F12"/>
    <w:rPr>
      <w:rFonts w:eastAsiaTheme="minorEastAsia"/>
      <w:kern w:val="0"/>
      <w:sz w:val="24"/>
      <w:szCs w:val="24"/>
    </w:rPr>
  </w:style>
  <w:style w:type="character" w:styleId="Hipervnculo">
    <w:name w:val="Hyperlink"/>
    <w:basedOn w:val="Fuentedeprrafopredeter"/>
    <w:uiPriority w:val="99"/>
    <w:unhideWhenUsed/>
    <w:rsid w:val="008E5F12"/>
    <w:rPr>
      <w:color w:val="0000FF"/>
      <w:u w:val="single"/>
    </w:rPr>
  </w:style>
  <w:style w:type="paragraph" w:styleId="Prrafodelista">
    <w:name w:val="List Paragraph"/>
    <w:aliases w:val="Cita texto,Párrafo de lista1,TEXTO GENERAL SENTENCIAS,Footnote,List Paragraph1,Párrafo de lista2,List Paragraph,CNBV Parrafo1,Parrafo 1,Colorful List - Accent 11,Cuadrícula clara - Énfasis 31"/>
    <w:basedOn w:val="Normal"/>
    <w:link w:val="PrrafodelistaCar"/>
    <w:uiPriority w:val="34"/>
    <w:qFormat/>
    <w:rsid w:val="001C08A2"/>
    <w:pPr>
      <w:ind w:left="720"/>
      <w:contextualSpacing/>
    </w:p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Ca,FA Fu?notentext,C,ft"/>
    <w:basedOn w:val="Normal"/>
    <w:link w:val="TextonotapieCar"/>
    <w:uiPriority w:val="99"/>
    <w:unhideWhenUsed/>
    <w:qFormat/>
    <w:rsid w:val="00CE6327"/>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 Car,Ca Car"/>
    <w:basedOn w:val="Fuentedeprrafopredeter"/>
    <w:link w:val="Textonotapie"/>
    <w:uiPriority w:val="99"/>
    <w:rsid w:val="00CE6327"/>
    <w:rPr>
      <w:rFonts w:eastAsiaTheme="minorEastAsia"/>
      <w:kern w:val="0"/>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Refdenotaalpie1"/>
    <w:uiPriority w:val="99"/>
    <w:unhideWhenUsed/>
    <w:qFormat/>
    <w:rsid w:val="00CE6327"/>
    <w:rPr>
      <w:vertAlign w:val="superscript"/>
    </w:rPr>
  </w:style>
  <w:style w:type="character" w:customStyle="1" w:styleId="PrrafodelistaCar">
    <w:name w:val="Párrafo de lista Car"/>
    <w:aliases w:val="Cita texto Car,Párrafo de lista1 Car,TEXTO GENERAL SENTENCIAS Car,Footnote Car,List Paragraph1 Car,Párrafo de lista2 Car,List Paragraph Car,CNBV Parrafo1 Car,Parrafo 1 Car,Colorful List - Accent 11 Car"/>
    <w:link w:val="Prrafodelista"/>
    <w:uiPriority w:val="34"/>
    <w:locked/>
    <w:rsid w:val="00705789"/>
    <w:rPr>
      <w:rFonts w:eastAsiaTheme="minorEastAsia"/>
      <w:kern w:val="0"/>
      <w:sz w:val="24"/>
      <w:szCs w:val="24"/>
    </w:rPr>
  </w:style>
  <w:style w:type="paragraph" w:customStyle="1" w:styleId="Refdenotaalpie1">
    <w:name w:val="Ref. de nota al pie1"/>
    <w:aliases w:val=" BVI fnr Car Car Car Car,BVI fnr Car Car Car Car"/>
    <w:basedOn w:val="Normal"/>
    <w:link w:val="Refdenotaalpie"/>
    <w:uiPriority w:val="99"/>
    <w:rsid w:val="00E20026"/>
    <w:pPr>
      <w:spacing w:after="160" w:line="240" w:lineRule="exact"/>
    </w:pPr>
    <w:rPr>
      <w:rFonts w:eastAsiaTheme="minorHAnsi"/>
      <w:kern w:val="2"/>
      <w:sz w:val="22"/>
      <w:szCs w:val="22"/>
      <w:vertAlign w:val="superscript"/>
    </w:rPr>
  </w:style>
  <w:style w:type="character" w:styleId="Mencinsinresolver">
    <w:name w:val="Unresolved Mention"/>
    <w:basedOn w:val="Fuentedeprrafopredeter"/>
    <w:uiPriority w:val="99"/>
    <w:semiHidden/>
    <w:unhideWhenUsed/>
    <w:rsid w:val="0060001B"/>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2.scjn.gob.mx/ConsultasTematica/Detalle/229672" TargetMode="External"/><Relationship Id="rId2" Type="http://schemas.openxmlformats.org/officeDocument/2006/relationships/hyperlink" Target="https://www2.scjn.gob.mx/ConsultasTematica/Detalle/225783" TargetMode="External"/><Relationship Id="rId1" Type="http://schemas.openxmlformats.org/officeDocument/2006/relationships/hyperlink" Target="https://www2.scjn.gob.mx/ConsultasTematica/Detalle/218421" TargetMode="External"/><Relationship Id="rId5" Type="http://schemas.openxmlformats.org/officeDocument/2006/relationships/hyperlink" Target="https://www2.scjn.gob.mx/ConsultasTematica/Detalle/303639" TargetMode="External"/><Relationship Id="rId4" Type="http://schemas.openxmlformats.org/officeDocument/2006/relationships/hyperlink" Target="https://www2.scjn.gob.mx/ConsultasTematica/Detalle/27505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inbhv8ZYy7BpHnGj+ir6tgOK9w==">CgMxLjA4AGopChRzdWdnZXN0LmN3enQwZjY2ZjYwNhIRVmVyw7NuaWNhIEVzcGFyemFqKQoUc3VnZ2VzdC50MmNpY2w5ZWR5bngSEVZlcsOzbmljYSBFc3BhcnphciExRWtBZFdLZGJ4Y08zS1FXYkhDUW1UVm5UVVI3amlRZXo=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1790</Words>
  <Characters>9851</Characters>
  <Application>Microsoft Office Word</Application>
  <DocSecurity>0</DocSecurity>
  <Lines>82</Lines>
  <Paragraphs>23</Paragraphs>
  <ScaleCrop>false</ScaleCrop>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Mendoza</dc:creator>
  <cp:lastModifiedBy>veronica esparza</cp:lastModifiedBy>
  <cp:revision>2</cp:revision>
  <dcterms:created xsi:type="dcterms:W3CDTF">2026-07-13T17:34:00Z</dcterms:created>
  <dcterms:modified xsi:type="dcterms:W3CDTF">2026-07-13T17:34:00Z</dcterms:modified>
</cp:coreProperties>
</file>