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4253" w:firstLine="0"/>
        <w:jc w:val="both"/>
        <w:rPr>
          <w:rFonts w:ascii="Garamond" w:cs="Garamond" w:eastAsia="Garamond" w:hAnsi="Garamond"/>
          <w:b w:val="1"/>
          <w:bCs w:val="1"/>
          <w:smallCaps w:val="1"/>
          <w:sz w:val="20"/>
          <w:szCs w:val="20"/>
        </w:rPr>
      </w:pPr>
      <w:r w:rsidDel="00000000" w:rsidR="00000000" w:rsidRPr="00000000">
        <w:rPr>
          <w:rtl w:val="0"/>
        </w:rPr>
      </w:r>
    </w:p>
    <w:p w:rsidR="00000000" w:rsidDel="00000000" w:rsidP="00000000" w:rsidRDefault="00000000" w:rsidRPr="00000000" w14:paraId="00000002">
      <w:pPr>
        <w:spacing w:after="0" w:before="0" w:line="240" w:lineRule="auto"/>
        <w:ind w:left="6803.149606299213" w:firstLine="0"/>
        <w:jc w:val="both"/>
        <w:rPr>
          <w:rFonts w:ascii="Garamond" w:cs="Garamond" w:eastAsia="Garamond" w:hAnsi="Garamond"/>
          <w:b w:val="1"/>
          <w:bCs w:val="1"/>
          <w:sz w:val="26"/>
          <w:szCs w:val="26"/>
        </w:rPr>
      </w:pPr>
      <w:r w:rsidDel="00000000" w:rsidR="00000000" w:rsidRPr="00000000">
        <w:rPr>
          <w:rFonts w:ascii="Garamond" w:cs="Garamond" w:eastAsia="Garamond" w:hAnsi="Garamond"/>
          <w:b w:val="1"/>
          <w:bCs w:val="1"/>
          <w:i w:val="1"/>
          <w:iCs w:val="1"/>
          <w:smallCaps w:val="1"/>
          <w:sz w:val="26"/>
          <w:szCs w:val="26"/>
          <w:rtl w:val="0"/>
        </w:rPr>
        <w:t xml:space="preserve">S</w:t>
      </w:r>
      <w:r w:rsidDel="00000000" w:rsidR="00000000" w:rsidRPr="00000000">
        <w:rPr>
          <w:rFonts w:ascii="Garamond" w:cs="Garamond" w:eastAsia="Garamond" w:hAnsi="Garamond"/>
          <w:b w:val="1"/>
          <w:bCs w:val="1"/>
          <w:i w:val="1"/>
          <w:iCs w:val="1"/>
          <w:sz w:val="26"/>
          <w:szCs w:val="26"/>
          <w:rtl w:val="0"/>
        </w:rPr>
        <w:t xml:space="preserve">olicitud urgente de aborto por violación en aplicación de la NOM-046-SSA2-2005</w:t>
      </w:r>
      <w:r w:rsidDel="00000000" w:rsidR="00000000" w:rsidRPr="00000000">
        <w:rPr>
          <w:rtl w:val="0"/>
        </w:rPr>
      </w:r>
    </w:p>
    <w:p w:rsidR="00000000" w:rsidDel="00000000" w:rsidP="00000000" w:rsidRDefault="00000000" w:rsidRPr="00000000" w14:paraId="00000003">
      <w:pPr>
        <w:spacing w:after="0" w:before="0" w:line="240" w:lineRule="auto"/>
        <w:ind w:right="5378"/>
        <w:jc w:val="both"/>
        <w:rPr>
          <w:rFonts w:ascii="Garamond" w:cs="Garamond" w:eastAsia="Garamond" w:hAnsi="Garamond"/>
          <w:b w:val="1"/>
          <w:bCs w:val="1"/>
          <w:sz w:val="26"/>
          <w:szCs w:val="26"/>
        </w:rPr>
      </w:pPr>
      <w:r w:rsidDel="00000000" w:rsidR="00000000" w:rsidRPr="00000000">
        <w:rPr>
          <w:rtl w:val="0"/>
        </w:rPr>
      </w:r>
    </w:p>
    <w:p w:rsidR="00000000" w:rsidDel="00000000" w:rsidP="00000000" w:rsidRDefault="00000000" w:rsidRPr="00000000" w14:paraId="00000004">
      <w:pPr>
        <w:spacing w:after="0" w:before="0" w:line="240" w:lineRule="auto"/>
        <w:ind w:right="5378"/>
        <w:jc w:val="both"/>
        <w:rPr>
          <w:rFonts w:ascii="Garamond" w:cs="Garamond" w:eastAsia="Garamond" w:hAnsi="Garamond"/>
          <w:b w:val="1"/>
          <w:bCs w:val="1"/>
          <w:sz w:val="26"/>
          <w:szCs w:val="26"/>
        </w:rPr>
      </w:pPr>
      <w:r w:rsidDel="00000000" w:rsidR="00000000" w:rsidRPr="00000000">
        <w:rPr>
          <w:rtl w:val="0"/>
        </w:rPr>
      </w:r>
    </w:p>
    <w:p w:rsidR="00000000" w:rsidDel="00000000" w:rsidP="00000000" w:rsidRDefault="00000000" w:rsidRPr="00000000" w14:paraId="00000005">
      <w:pPr>
        <w:spacing w:after="0" w:before="0" w:line="240" w:lineRule="auto"/>
        <w:ind w:right="5378"/>
        <w:jc w:val="both"/>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Director(a) del Hospital </w:t>
      </w:r>
      <w:r w:rsidDel="00000000" w:rsidR="00000000" w:rsidRPr="00000000">
        <w:rPr>
          <w:rFonts w:ascii="Garamond" w:cs="Garamond" w:eastAsia="Garamond" w:hAnsi="Garamond"/>
          <w:b w:val="1"/>
          <w:bCs w:val="1"/>
          <w:sz w:val="26"/>
          <w:szCs w:val="26"/>
          <w:rtl w:val="0"/>
        </w:rPr>
        <w:t xml:space="preserve">[</w:t>
      </w:r>
      <w:r w:rsidDel="00000000" w:rsidR="00000000" w:rsidRPr="00000000">
        <w:rPr>
          <w:rFonts w:ascii="Garamond" w:cs="Garamond" w:eastAsia="Garamond" w:hAnsi="Garamond"/>
          <w:b w:val="1"/>
          <w:bCs w:val="1"/>
          <w:sz w:val="26"/>
          <w:szCs w:val="26"/>
          <w:shd w:fill="ea9999" w:val="clear"/>
          <w:rtl w:val="0"/>
        </w:rPr>
        <w:t xml:space="preserve">insertar nombre del Hospital al que se realiza la solicitud en caso de desconocerlo, dirigirlo a la Secretaría(o) de Salud del Estado</w:t>
      </w:r>
      <w:r w:rsidDel="00000000" w:rsidR="00000000" w:rsidRPr="00000000">
        <w:rPr>
          <w:rFonts w:ascii="Garamond" w:cs="Garamond" w:eastAsia="Garamond" w:hAnsi="Garamond"/>
          <w:b w:val="1"/>
          <w:bCs w:val="1"/>
          <w:sz w:val="26"/>
          <w:szCs w:val="26"/>
          <w:rtl w:val="0"/>
        </w:rPr>
        <w:t xml:space="preserve">]</w:t>
      </w:r>
    </w:p>
    <w:p w:rsidR="00000000" w:rsidDel="00000000" w:rsidP="00000000" w:rsidRDefault="00000000" w:rsidRPr="00000000" w14:paraId="00000006">
      <w:pPr>
        <w:spacing w:after="0" w:before="0" w:line="240" w:lineRule="auto"/>
        <w:ind w:right="5378"/>
        <w:jc w:val="both"/>
        <w:rPr>
          <w:rFonts w:ascii="Garamond" w:cs="Garamond" w:eastAsia="Garamond" w:hAnsi="Garamond"/>
          <w:b w:val="1"/>
          <w:bCs w:val="1"/>
          <w:sz w:val="26"/>
          <w:szCs w:val="26"/>
        </w:rPr>
      </w:pPr>
      <w:r w:rsidDel="00000000" w:rsidR="00000000" w:rsidRPr="00000000">
        <w:rPr>
          <w:rtl w:val="0"/>
        </w:rPr>
      </w:r>
    </w:p>
    <w:p w:rsidR="00000000" w:rsidDel="00000000" w:rsidP="00000000" w:rsidRDefault="00000000" w:rsidRPr="00000000" w14:paraId="00000007">
      <w:pPr>
        <w:spacing w:after="0" w:before="0" w:line="240"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La que suscribe,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b w:val="1"/>
          <w:bCs w:val="1"/>
          <w:shd w:fill="ffd966" w:val="clear"/>
          <w:rtl w:val="0"/>
        </w:rPr>
        <w:t xml:space="preserve">NOMBRE DE LA PERSONA QUE DESEA ABORTAR</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 por mi propio derecho y en mi calidad de víctima, con fundamento en los artículos 1, 4, 8 y 20 apartado C fracción III y VI de la Constitución Política de los Estados Unidos Mexicanos; 1.1, 2, 5, 8 y 25 de la Convención Americana sobre Derechos Humanos; 1, 2.b, 3, 4, 7 incisos a, e y h de la Convención</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highlight w:val="white"/>
          <w:rtl w:val="0"/>
        </w:rPr>
        <w:t xml:space="preserve">Interamericana para Prevenir, Sancionar y Erradicar la Violencia contra la Mujer;</w:t>
      </w:r>
      <w:r w:rsidDel="00000000" w:rsidR="00000000" w:rsidRPr="00000000">
        <w:rPr>
          <w:rFonts w:ascii="Garamond" w:cs="Garamond" w:eastAsia="Garamond" w:hAnsi="Garamond"/>
          <w:rtl w:val="0"/>
        </w:rPr>
        <w:t xml:space="preserve"> 1, 2 incisos d) y f), 12.1 de la Convención sobre la Eliminación de todas las formas de Discriminación contra la mujer; 5 fracción IV, 6 fracción V, 16, 18, 46 fracciones II y X, 49, 50, 51 fracción II de la Ley General de Acceso de las Mujeres a una Vida Libre de Violencia; 29, 30 fracción IX y 35 de la Ley General de Víctimas; 215 Bis 6 del Reglamento de la Ley General de Salud en Materia de Prestación de Servicios de Atención Medica; numerales 6.4.2.7. y 6.6.1. de la NOM-046-SSA2-2005 “Violencia Familiar, Sexual y contra las Mujeres. Criterios para la Prevención y Atención” (en adelante </w:t>
      </w:r>
      <w:r w:rsidDel="00000000" w:rsidR="00000000" w:rsidRPr="00000000">
        <w:rPr>
          <w:rFonts w:ascii="Garamond" w:cs="Garamond" w:eastAsia="Garamond" w:hAnsi="Garamond"/>
          <w:i w:val="1"/>
          <w:iCs w:val="1"/>
          <w:rtl w:val="0"/>
        </w:rPr>
        <w:t xml:space="preserve">NOM-046</w:t>
      </w:r>
      <w:r w:rsidDel="00000000" w:rsidR="00000000" w:rsidRPr="00000000">
        <w:rPr>
          <w:rFonts w:ascii="Garamond" w:cs="Garamond" w:eastAsia="Garamond" w:hAnsi="Garamond"/>
          <w:rtl w:val="0"/>
        </w:rPr>
        <w:t xml:space="preserve">) ; 17, 20 fracciones I, III, IX, y X Ley de Víctimas del Estado de Aguascalientes y 103 del Código Penal para el Estado de Aguascalientes, me dirijo a usted para exponer lo siguiente:</w:t>
      </w:r>
    </w:p>
    <w:p w:rsidR="00000000" w:rsidDel="00000000" w:rsidP="00000000" w:rsidRDefault="00000000" w:rsidRPr="00000000" w14:paraId="00000008">
      <w:pPr>
        <w:spacing w:after="0" w:before="0" w:line="240" w:lineRule="auto"/>
        <w:ind w:lef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9">
      <w:pPr>
        <w:numPr>
          <w:ilvl w:val="0"/>
          <w:numId w:val="1"/>
        </w:numPr>
        <w:spacing w:after="0" w:before="0" w:line="240" w:lineRule="auto"/>
        <w:ind w:left="720" w:hanging="360"/>
        <w:jc w:val="both"/>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Autorizaciones y medios para recibir notificaciones</w:t>
      </w:r>
    </w:p>
    <w:p w:rsidR="00000000" w:rsidDel="00000000" w:rsidP="00000000" w:rsidRDefault="00000000" w:rsidRPr="00000000" w14:paraId="0000000A">
      <w:pPr>
        <w:spacing w:after="0" w:before="0" w:line="240" w:lineRule="auto"/>
        <w:ind w:left="720" w:firstLine="0"/>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0B">
      <w:pPr>
        <w:spacing w:after="0" w:before="0" w:line="240"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Señalo como medio para oír y recibir notificaciones el correo electrónico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xx</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y el número telefónico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xx</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 ambos pertenecientes a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xx</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medios que podrán ser utilizados a efecto de entablar cualquier comunicación posterior registro y certificación de las mismas. De igual manera autorizo en términos amplios para darle seguimiento a la presente solicitud a las ciudadanas </w:t>
      </w:r>
      <w:r w:rsidDel="00000000" w:rsidR="00000000" w:rsidRPr="00000000">
        <w:rPr>
          <w:rFonts w:ascii="Garamond" w:cs="Garamond" w:eastAsia="Garamond" w:hAnsi="Garamond"/>
          <w:b w:val="1"/>
          <w:bCs w:val="1"/>
          <w:rtl w:val="0"/>
        </w:rPr>
        <w:t xml:space="preserve">[</w:t>
      </w:r>
      <w:sdt>
        <w:sdtPr>
          <w:id w:val="-1341715219"/>
          <w:tag w:val="goog_rdk_0"/>
        </w:sdtPr>
        <w:sdtContent>
          <w:commentRangeStart w:id="0"/>
        </w:sdtContent>
      </w:sdt>
      <w:sdt>
        <w:sdtPr>
          <w:id w:val="381311118"/>
          <w:tag w:val="goog_rdk_1"/>
        </w:sdtPr>
        <w:sdtContent>
          <w:commentRangeStart w:id="1"/>
        </w:sdtContent>
      </w:sdt>
      <w:r w:rsidDel="00000000" w:rsidR="00000000" w:rsidRPr="00000000">
        <w:rPr>
          <w:rFonts w:ascii="Garamond" w:cs="Garamond" w:eastAsia="Garamond" w:hAnsi="Garamond"/>
          <w:b w:val="1"/>
          <w:bCs w:val="1"/>
          <w:shd w:fill="ffd966" w:val="clear"/>
          <w:rtl w:val="0"/>
        </w:rPr>
        <w:t xml:space="preserve">insertar personas que acompañarán en el proceso</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0C">
      <w:pPr>
        <w:spacing w:after="0" w:before="0" w:line="240" w:lineRule="auto"/>
        <w:ind w:left="0" w:firstLine="0"/>
        <w:jc w:val="both"/>
        <w:rPr>
          <w:rFonts w:ascii="Garamond" w:cs="Garamond" w:eastAsia="Garamond" w:hAnsi="Garamond"/>
        </w:rPr>
      </w:pP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D">
      <w:pPr>
        <w:numPr>
          <w:ilvl w:val="0"/>
          <w:numId w:val="1"/>
        </w:numPr>
        <w:spacing w:after="0" w:before="0" w:line="240" w:lineRule="auto"/>
        <w:ind w:left="720" w:hanging="360"/>
        <w:jc w:val="both"/>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Solicitud de aborto por violación</w:t>
      </w:r>
    </w:p>
    <w:p w:rsidR="00000000" w:rsidDel="00000000" w:rsidP="00000000" w:rsidRDefault="00000000" w:rsidRPr="00000000" w14:paraId="0000000E">
      <w:pPr>
        <w:spacing w:after="0" w:before="0" w:line="240" w:lineRule="auto"/>
        <w:ind w:left="720" w:firstLine="0"/>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0F">
      <w:pPr>
        <w:spacing w:after="0" w:before="0" w:line="240"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La suscrita,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NOMBRE DE LA PERSONA QUE DESEA ABORTAR</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 manifiesto bajo protesta de decir verdad que tengo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xx</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 años y fui víctima de violación. Como consecuencia de ello, actualmente curso un embarazo de aproximadamente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xx</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tl w:val="0"/>
        </w:rPr>
        <w:t xml:space="preserve">semanas de gestación. Por lo anterior y con fundamento en los artículos señalados al principio de este escrito, solicito se me practique la interrupción del embarazo que curso, por tratarse de un embarazo no deseado producto de una violación.</w:t>
      </w:r>
    </w:p>
    <w:p w:rsidR="00000000" w:rsidDel="00000000" w:rsidP="00000000" w:rsidRDefault="00000000" w:rsidRPr="00000000" w14:paraId="00000010">
      <w:pPr>
        <w:spacing w:after="0" w:before="0" w:line="240" w:lineRule="auto"/>
        <w:ind w:lef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Elementos jurídicos para resolver la solicitud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3">
      <w:pPr>
        <w:spacing w:after="0" w:before="0" w:line="240"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Los artículos 1 y 4 de la Constitución, reconocen el derecho humano a la salud y la obligación de todas las autoridades en el ámbito de sus competencias de promover, respetar, proteger y garantizar los derechos humanos. Por su parte, el artículo 20 apartado C fracción III del mismo ordenamiento reconoce el derecho de las víctimas del delito a recibir atención médica y psicológica de urgencia. Tratándose de mujeres y personas con capacidad de gestar víctimas de violencia sexual, dicha obligación no se limita al ámbito procesal penal, sino que se extiende a todas las autoridades, incluidas expresamente las instituciones públicas de salud. En consecuencia, los servicios de salud están obligados a garantizar el acceso efectivo, inmediato y no condicionado a los servicios médicos que resulten necesarios como consecuencia del hecho victimizante.</w:t>
      </w:r>
    </w:p>
    <w:p w:rsidR="00000000" w:rsidDel="00000000" w:rsidP="00000000" w:rsidRDefault="00000000" w:rsidRPr="00000000" w14:paraId="00000014">
      <w:pPr>
        <w:spacing w:after="0" w:before="0" w:line="240" w:lineRule="auto"/>
        <w:ind w:lef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5">
      <w:pPr>
        <w:spacing w:after="0" w:before="0" w:line="240"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Este mandato se refuerza con lo dispuesto en la Ley General de Víctimas, la Ley General de Acceso de las Mujeres a una Vida Libre de Violencia y la NOM-046, que integran el parámetro de regularidad constitucional conforme al artículo 1° constitucional. Asimismo, conforme a la Convención Interamericana para Prevenir, Sancionar y Erradicar la Violencia contra la Mujer (Convención de Belém do Pará), el Estado mexicano tiene la obligación de suministrar servicios especializados apropiados para la atención de mujeres víctimas de violencia, lo que incluye servicios de salud sexual y reproductiva.</w:t>
      </w:r>
    </w:p>
    <w:p w:rsidR="00000000" w:rsidDel="00000000" w:rsidP="00000000" w:rsidRDefault="00000000" w:rsidRPr="00000000" w14:paraId="00000016">
      <w:pPr>
        <w:spacing w:after="0" w:before="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7">
      <w:pPr>
        <w:spacing w:after="0" w:before="0" w:line="240"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En concordancia con lo que dispone la Constitución, el artículo 190 del Código Nacional de Procedimientos Penales reconoce el derecho de las víctimas a recibir atención médica y psicológica de urgencia desde la comisión del delito, así como a recibir protección especial de su integridad física y psíquica. Por su parte, la Ley General de Víctimas, en sus artículos 29, 30, fracción IX y 35, establece de manera expresa que las instituciones hospitalarias públicas deben proporcionar a toda víctima de violación sexual los servicios de atención médica de emergencia, entre los cuales se encuentra la interrupción voluntaria del embarazo cuando éste sea producto de dicha agresión. Esta atención debe brindarse de forma inmediata, no puede condicionarse a denuncia o querella previa y debe otorgarse con absoluto respeto a la voluntad de la víctima.</w:t>
      </w:r>
    </w:p>
    <w:p w:rsidR="00000000" w:rsidDel="00000000" w:rsidP="00000000" w:rsidRDefault="00000000" w:rsidRPr="00000000" w14:paraId="00000018">
      <w:pPr>
        <w:spacing w:after="0" w:before="0" w:line="240" w:lineRule="auto"/>
        <w:ind w:left="0"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9">
      <w:pPr>
        <w:spacing w:after="0" w:before="0" w:line="240"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Del mismo modo, el artículo 215 bis 6 del Reglamento de la Ley General de Salud en Materia de Prestación de Servicios de Atención Médica contempla que, en caso de emergencia médica, los Establecimientos para la Atención Médica del sector público no pueden negar esos servicios a las víctimas derivado de su condición socioeconómica o nacionalidad ni pueden condicionar su prestación a la presentación de la denuncia o querella.</w:t>
      </w:r>
    </w:p>
    <w:p w:rsidR="00000000" w:rsidDel="00000000" w:rsidP="00000000" w:rsidRDefault="00000000" w:rsidRPr="00000000" w14:paraId="0000001A">
      <w:pPr>
        <w:spacing w:after="0" w:before="0" w:line="240" w:lineRule="auto"/>
        <w:ind w:left="0" w:firstLine="0"/>
        <w:jc w:val="both"/>
        <w:rPr>
          <w:rFonts w:ascii="Garamond" w:cs="Garamond" w:eastAsia="Garamond" w:hAnsi="Garamond"/>
        </w:rPr>
      </w:pP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1B">
      <w:pPr>
        <w:spacing w:after="0" w:before="0" w:line="240"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De manera destacada, la </w:t>
      </w:r>
      <w:r w:rsidDel="00000000" w:rsidR="00000000" w:rsidRPr="00000000">
        <w:rPr>
          <w:rFonts w:ascii="Garamond" w:cs="Garamond" w:eastAsia="Garamond" w:hAnsi="Garamond"/>
          <w:rtl w:val="0"/>
        </w:rPr>
        <w:t xml:space="preserve">NOM-046 </w:t>
      </w:r>
      <w:r w:rsidDel="00000000" w:rsidR="00000000" w:rsidRPr="00000000">
        <w:rPr>
          <w:rFonts w:ascii="Garamond" w:cs="Garamond" w:eastAsia="Garamond" w:hAnsi="Garamond"/>
          <w:rtl w:val="0"/>
        </w:rPr>
        <w:t xml:space="preserve">establece expresamente que:</w:t>
      </w:r>
    </w:p>
    <w:p w:rsidR="00000000" w:rsidDel="00000000" w:rsidP="00000000" w:rsidRDefault="00000000" w:rsidRPr="00000000" w14:paraId="0000001C">
      <w:pPr>
        <w:spacing w:after="0" w:before="0" w:line="240" w:lineRule="auto"/>
        <w:ind w:firstLine="280"/>
        <w:jc w:val="both"/>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1D">
      <w:pPr>
        <w:spacing w:after="0" w:before="0" w:line="240" w:lineRule="auto"/>
        <w:ind w:left="560" w:right="900" w:firstLine="0"/>
        <w:jc w:val="both"/>
        <w:rPr>
          <w:rFonts w:ascii="Garamond" w:cs="Garamond" w:eastAsia="Garamond" w:hAnsi="Garamond"/>
          <w:sz w:val="22"/>
          <w:szCs w:val="22"/>
        </w:rPr>
      </w:pPr>
      <w:r w:rsidDel="00000000" w:rsidR="00000000" w:rsidRPr="00000000">
        <w:rPr>
          <w:rFonts w:ascii="Garamond" w:cs="Garamond" w:eastAsia="Garamond" w:hAnsi="Garamond"/>
          <w:b w:val="1"/>
          <w:bCs w:val="1"/>
          <w:sz w:val="20"/>
          <w:szCs w:val="20"/>
          <w:rtl w:val="0"/>
        </w:rPr>
        <w:t xml:space="preserve">6.4.2.7. En caso de embarazo por violación, las instituciones públicas prestadoras de servicios de atención médica, deberán prestar servicios de interrupción voluntaria del embarazo en los casos permitidos por ley</w:t>
      </w:r>
      <w:r w:rsidDel="00000000" w:rsidR="00000000" w:rsidRPr="00000000">
        <w:rPr>
          <w:rFonts w:ascii="Garamond" w:cs="Garamond" w:eastAsia="Garamond" w:hAnsi="Garamond"/>
          <w:sz w:val="20"/>
          <w:szCs w:val="20"/>
          <w:rtl w:val="0"/>
        </w:rPr>
        <w:t xml:space="preserve">, conforme a lo previsto en las disposiciones jurídicas de protección a los derechos de las víctimas, previa solicitud por escrito bajo protesta de decir verdad de la persona afectada de que dicho embarazo es producto de violación; en caso de ser menor de 12 años de edad, a solicitud de su padre y/o su madre, o a falta de éstos, de su tutor o conforme a las disposiciones jurídicas aplicables. El personal de salud que participe en el procedimiento de interrupción voluntaria del embarazo no estará obligado a verificar el dicho de la solicitante, entendiéndose su actuación, basada en el principio de buena fe a que hace referencia el artículo 5, de la Ley General de Víctimas.</w:t>
      </w:r>
      <w:r w:rsidDel="00000000" w:rsidR="00000000" w:rsidRPr="00000000">
        <w:rPr>
          <w:rtl w:val="0"/>
        </w:rPr>
      </w:r>
    </w:p>
    <w:p w:rsidR="00000000" w:rsidDel="00000000" w:rsidP="00000000" w:rsidRDefault="00000000" w:rsidRPr="00000000" w14:paraId="0000001E">
      <w:pPr>
        <w:spacing w:after="0" w:before="0" w:line="240" w:lineRule="auto"/>
        <w:ind w:left="560" w:right="900" w:firstLine="0"/>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t>
      </w:r>
    </w:p>
    <w:p w:rsidR="00000000" w:rsidDel="00000000" w:rsidP="00000000" w:rsidRDefault="00000000" w:rsidRPr="00000000" w14:paraId="0000001F">
      <w:pPr>
        <w:spacing w:after="0" w:before="0" w:line="240" w:lineRule="auto"/>
        <w:ind w:left="560" w:right="900" w:firstLine="0"/>
        <w:jc w:val="both"/>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w:t>
      </w:r>
    </w:p>
    <w:p w:rsidR="00000000" w:rsidDel="00000000" w:rsidP="00000000" w:rsidRDefault="00000000" w:rsidRPr="00000000" w14:paraId="00000020">
      <w:pPr>
        <w:spacing w:after="0" w:before="0" w:line="240" w:lineRule="auto"/>
        <w:ind w:left="560" w:right="900" w:firstLine="0"/>
        <w:jc w:val="both"/>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6.6.1. Corresponde a las y los prestadores de servicios de salud informar a la persona afectada sobre su derecho a denunciar los hechos de violencia que se presenten</w:t>
      </w:r>
      <w:r w:rsidDel="00000000" w:rsidR="00000000" w:rsidRPr="00000000">
        <w:rPr>
          <w:rFonts w:ascii="Garamond" w:cs="Garamond" w:eastAsia="Garamond" w:hAnsi="Garamond"/>
          <w:sz w:val="20"/>
          <w:szCs w:val="20"/>
          <w:rtl w:val="0"/>
        </w:rPr>
        <w:t xml:space="preserve">, así como de la existencia de la Comisión Ejecutiva de Atención a Víctimas y de las Comisiones Ejecutivas de las entidades federativas o sus equivalentes y de los centros de apoyo disponibles, responsables de orientar a las víctimas sobre los pasos a seguir para acceder a los servicios de atención, protección y defensa para quienes sufren de violencia familiar o sexual, </w:t>
      </w:r>
      <w:r w:rsidDel="00000000" w:rsidR="00000000" w:rsidRPr="00000000">
        <w:rPr>
          <w:rFonts w:ascii="Garamond" w:cs="Garamond" w:eastAsia="Garamond" w:hAnsi="Garamond"/>
          <w:b w:val="1"/>
          <w:bCs w:val="1"/>
          <w:sz w:val="20"/>
          <w:szCs w:val="20"/>
          <w:rtl w:val="0"/>
        </w:rPr>
        <w:t xml:space="preserve">facilitando y respetando la autonomía en sus decisiones e invitando a continuar el seguimiento médico, psicológico y de trabajo social.</w:t>
      </w:r>
    </w:p>
    <w:p w:rsidR="00000000" w:rsidDel="00000000" w:rsidP="00000000" w:rsidRDefault="00000000" w:rsidRPr="00000000" w14:paraId="00000021">
      <w:pPr>
        <w:spacing w:after="0" w:before="0" w:line="240" w:lineRule="auto"/>
        <w:ind w:right="40"/>
        <w:jc w:val="both"/>
        <w:rPr>
          <w:rFonts w:ascii="Garamond" w:cs="Garamond" w:eastAsia="Garamond" w:hAnsi="Garamond"/>
        </w:rPr>
      </w:pPr>
      <w:r w:rsidDel="00000000" w:rsidR="00000000" w:rsidRPr="00000000">
        <w:rPr>
          <w:rFonts w:ascii="Garamond" w:cs="Garamond" w:eastAsia="Garamond" w:hAnsi="Garamond"/>
          <w:sz w:val="20"/>
          <w:szCs w:val="20"/>
          <w:rtl w:val="0"/>
        </w:rPr>
        <w:t xml:space="preserve"> </w:t>
      </w:r>
      <w:r w:rsidDel="00000000" w:rsidR="00000000" w:rsidRPr="00000000">
        <w:rPr>
          <w:rtl w:val="0"/>
        </w:rPr>
      </w:r>
    </w:p>
    <w:p w:rsidR="00000000" w:rsidDel="00000000" w:rsidP="00000000" w:rsidRDefault="00000000" w:rsidRPr="00000000" w14:paraId="00000022">
      <w:pPr>
        <w:spacing w:after="0" w:before="0" w:line="240" w:lineRule="auto"/>
        <w:ind w:left="0" w:right="40" w:firstLine="0"/>
        <w:jc w:val="both"/>
        <w:rPr>
          <w:rFonts w:ascii="Garamond" w:cs="Garamond" w:eastAsia="Garamond" w:hAnsi="Garamond"/>
        </w:rPr>
      </w:pPr>
      <w:r w:rsidDel="00000000" w:rsidR="00000000" w:rsidRPr="00000000">
        <w:rPr>
          <w:rFonts w:ascii="Garamond" w:cs="Garamond" w:eastAsia="Garamond" w:hAnsi="Garamond"/>
          <w:rtl w:val="0"/>
        </w:rPr>
        <w:t xml:space="preserve">A nivel local, el artículo 20 de la Ley de Víctimas del Estado de Aguascalientes reconoce expresamente la interrupción voluntaria del embarazo como medida de ayuda inmediata en casos permitidos por la ley, con absoluto respeto a la voluntad de la víctima.</w:t>
      </w:r>
    </w:p>
    <w:p w:rsidR="00000000" w:rsidDel="00000000" w:rsidP="00000000" w:rsidRDefault="00000000" w:rsidRPr="00000000" w14:paraId="00000023">
      <w:pPr>
        <w:spacing w:after="0" w:before="0" w:line="240" w:lineRule="auto"/>
        <w:ind w:right="900"/>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p w:rsidR="00000000" w:rsidDel="00000000" w:rsidP="00000000" w:rsidRDefault="00000000" w:rsidRPr="00000000" w14:paraId="00000024">
      <w:pPr>
        <w:spacing w:after="0" w:before="0" w:line="240"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Así, existe una normativa comprensiva y extensiva que reconoce los derechos de las víctimas de violencia sexual a recibir atención médica y que incluso reconoce los servicios de interrupción voluntaria del embarazo como servicios médicos de atención inmediata en caso de violencia sexual y la obligación de la Secretaría de Salud de proveer dichos servicios a las mismas de manera oportuna.</w:t>
      </w:r>
    </w:p>
    <w:p w:rsidR="00000000" w:rsidDel="00000000" w:rsidP="00000000" w:rsidRDefault="00000000" w:rsidRPr="00000000" w14:paraId="00000025">
      <w:pPr>
        <w:spacing w:after="0" w:before="0" w:line="240" w:lineRule="auto"/>
        <w:ind w:firstLine="280"/>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p w:rsidR="00000000" w:rsidDel="00000000" w:rsidP="00000000" w:rsidRDefault="00000000" w:rsidRPr="00000000" w14:paraId="00000026">
      <w:pPr>
        <w:spacing w:after="0" w:before="0" w:line="240" w:lineRule="auto"/>
        <w:ind w:firstLine="280"/>
        <w:jc w:val="both"/>
        <w:rPr>
          <w:rFonts w:ascii="Garamond" w:cs="Garamond" w:eastAsia="Garamond" w:hAnsi="Garamond"/>
        </w:rPr>
      </w:pPr>
      <w:r w:rsidDel="00000000" w:rsidR="00000000" w:rsidRPr="00000000">
        <w:rPr>
          <w:rFonts w:ascii="Garamond" w:cs="Garamond" w:eastAsia="Garamond" w:hAnsi="Garamond"/>
          <w:rtl w:val="0"/>
        </w:rPr>
        <w:t xml:space="preserve">Ahora bien, en su calidad de autoridad debe considerar que las restricciones para acceder a los servicios de interrupción del embarazo producto de una violación ya han sido consideradas como violaciones a los derechos a la salud e integridad personal de las mujeres, inclusive, pueden llegar a ser consideradas como tratos crueles, inhumanos y degradantes, incluso de tortura</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vertAlign w:val="superscript"/>
        </w:rPr>
        <w:footnoteReference w:customMarkFollows="0" w:id="0"/>
      </w:r>
      <w:r w:rsidDel="00000000" w:rsidR="00000000" w:rsidRPr="00000000">
        <w:rPr>
          <w:rFonts w:ascii="Garamond" w:cs="Garamond" w:eastAsia="Garamond" w:hAnsi="Garamond"/>
          <w:vertAlign w:val="superscript"/>
          <w:rtl w:val="0"/>
        </w:rPr>
        <w:t xml:space="preserve"> </w:t>
      </w:r>
      <w:r w:rsidDel="00000000" w:rsidR="00000000" w:rsidRPr="00000000">
        <w:rPr>
          <w:rFonts w:ascii="Garamond" w:cs="Garamond" w:eastAsia="Garamond" w:hAnsi="Garamond"/>
          <w:rtl w:val="0"/>
        </w:rPr>
        <w:t xml:space="preserve">Al respecto, la Suprema Corte de Justicia de la Nación ha desarrollado una línea jurisprudencial consistente en la materia derivado de casos en los que las autoridades sanitarias han negado o dilatado la prestación del servicio de aborto por la edad gestacional del embarazo al momento de la solicitud. </w:t>
      </w:r>
      <w:r w:rsidDel="00000000" w:rsidR="00000000" w:rsidRPr="00000000">
        <w:rPr>
          <w:rtl w:val="0"/>
        </w:rPr>
      </w:r>
    </w:p>
    <w:p w:rsidR="00000000" w:rsidDel="00000000" w:rsidP="00000000" w:rsidRDefault="00000000" w:rsidRPr="00000000" w14:paraId="00000027">
      <w:pPr>
        <w:spacing w:after="0" w:before="0" w:line="240" w:lineRule="auto"/>
        <w:ind w:firstLine="280"/>
        <w:jc w:val="both"/>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28">
      <w:pPr>
        <w:spacing w:after="0" w:before="0" w:line="240"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En el Amparo en Revisión 601/2017</w:t>
      </w:r>
      <w:r w:rsidDel="00000000" w:rsidR="00000000" w:rsidRPr="00000000">
        <w:rPr>
          <w:rFonts w:ascii="Garamond" w:cs="Garamond" w:eastAsia="Garamond" w:hAnsi="Garamond"/>
          <w:vertAlign w:val="superscript"/>
        </w:rPr>
        <w:footnoteReference w:customMarkFollows="0" w:id="1"/>
      </w:r>
      <w:r w:rsidDel="00000000" w:rsidR="00000000" w:rsidRPr="00000000">
        <w:rPr>
          <w:rFonts w:ascii="Garamond" w:cs="Garamond" w:eastAsia="Garamond" w:hAnsi="Garamond"/>
          <w:rtl w:val="0"/>
        </w:rPr>
        <w:t xml:space="preserve"> determinó que la violación sexual constituye una forma de tortura y que negar el acceso a la interrupción del embarazo producto de la misma implica prolongar las consecuencias físicas y psicológicas de la agresión, pudiendo constituir trato cruel, inhumano o degradante.</w:t>
      </w:r>
      <w:r w:rsidDel="00000000" w:rsidR="00000000" w:rsidRPr="00000000">
        <w:rPr>
          <w:rtl w:val="0"/>
        </w:rPr>
      </w:r>
    </w:p>
    <w:p w:rsidR="00000000" w:rsidDel="00000000" w:rsidP="00000000" w:rsidRDefault="00000000" w:rsidRPr="00000000" w14:paraId="00000029">
      <w:pPr>
        <w:spacing w:after="0" w:before="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2A">
      <w:pPr>
        <w:shd w:fill="ffffff" w:val="clear"/>
        <w:spacing w:after="0" w:before="0" w:line="240"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En el Amparo en Revisión 1170/2017</w:t>
      </w:r>
      <w:r w:rsidDel="00000000" w:rsidR="00000000" w:rsidRPr="00000000">
        <w:rPr>
          <w:rFonts w:ascii="Garamond" w:cs="Garamond" w:eastAsia="Garamond" w:hAnsi="Garamond"/>
          <w:vertAlign w:val="superscript"/>
        </w:rPr>
        <w:footnoteReference w:customMarkFollows="0" w:id="2"/>
      </w:r>
      <w:r w:rsidDel="00000000" w:rsidR="00000000" w:rsidRPr="00000000">
        <w:rPr>
          <w:rFonts w:ascii="Garamond" w:cs="Garamond" w:eastAsia="Garamond" w:hAnsi="Garamond"/>
          <w:rtl w:val="0"/>
        </w:rPr>
        <w:t xml:space="preserve"> estableció que en los casos de violación sexual debe garantizarse sin dilación el acceso al aborto y considerarlo como urgentes, determinando que “la autoridad tiene el deber de garantizar, sin dilación alguna, los derechos que tiene una mujer como víctima de una violación sexual, entre ellos, el de conseguir la interrupción legal del embarazo de manera inmediata, lo que implica calificar de urgentes dichos casos, debiendo priorizar su atención para evitar que las consecuencias físicas y psicológicas se sigan desplegando en el tiempo”.</w:t>
      </w:r>
    </w:p>
    <w:p w:rsidR="00000000" w:rsidDel="00000000" w:rsidP="00000000" w:rsidRDefault="00000000" w:rsidRPr="00000000" w14:paraId="0000002B">
      <w:pPr>
        <w:shd w:fill="ffffff" w:val="clear"/>
        <w:spacing w:after="0" w:before="0" w:line="240" w:lineRule="auto"/>
        <w:ind w:left="0"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C">
      <w:pPr>
        <w:shd w:fill="ffffff" w:val="clear"/>
        <w:spacing w:after="0" w:before="0" w:line="240"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En el mismo sentido, el Amparo en Revisión 45/2018 reiteró que la imposición de obstáculos o limitaciones temporales injustificadas vulnera gravemente los derechos a la salud, integridad personal y autonomía reproductiva.</w:t>
      </w:r>
      <w:r w:rsidDel="00000000" w:rsidR="00000000" w:rsidRPr="00000000">
        <w:rPr>
          <w:rFonts w:ascii="Garamond" w:cs="Garamond" w:eastAsia="Garamond" w:hAnsi="Garamond"/>
          <w:vertAlign w:val="superscript"/>
        </w:rPr>
        <w:footnoteReference w:customMarkFollows="0" w:id="3"/>
      </w:r>
      <w:r w:rsidDel="00000000" w:rsidR="00000000" w:rsidRPr="00000000">
        <w:rPr>
          <w:rtl w:val="0"/>
        </w:rPr>
      </w:r>
    </w:p>
    <w:p w:rsidR="00000000" w:rsidDel="00000000" w:rsidP="00000000" w:rsidRDefault="00000000" w:rsidRPr="00000000" w14:paraId="0000002D">
      <w:pPr>
        <w:spacing w:after="0" w:before="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0" w:before="0" w:line="240"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Por otro lado, en el Amparo en Revisión 438/2020</w:t>
      </w:r>
      <w:r w:rsidDel="00000000" w:rsidR="00000000" w:rsidRPr="00000000">
        <w:rPr>
          <w:rFonts w:ascii="Garamond" w:cs="Garamond" w:eastAsia="Garamond" w:hAnsi="Garamond"/>
          <w:vertAlign w:val="superscript"/>
        </w:rPr>
        <w:footnoteReference w:customMarkFollows="0" w:id="4"/>
      </w:r>
      <w:r w:rsidDel="00000000" w:rsidR="00000000" w:rsidRPr="00000000">
        <w:rPr>
          <w:rFonts w:ascii="Garamond" w:cs="Garamond" w:eastAsia="Garamond" w:hAnsi="Garamond"/>
          <w:rtl w:val="0"/>
        </w:rPr>
        <w:t xml:space="preserve">, el Alto Tribunal analizó la constitucionalidad de disposiciones que establecían un límite gestacional para acceder al aborto en casos de violación y concluyó que dicha restricción es inconstitucional. La Corte determinó que fijar un plazo máximo para acceder a la interrupción del embarazo traslada a la víctima la carga de las consecuencias del delito y desconoce la naturaleza misma de la violencia sexual, la cual produce efectos psicológicos, emocionales y sociales que pueden impedir denunciar o solicitar atención médica de manera inmediata.</w:t>
      </w:r>
    </w:p>
    <w:p w:rsidR="00000000" w:rsidDel="00000000" w:rsidP="00000000" w:rsidRDefault="00000000" w:rsidRPr="00000000" w14:paraId="0000002F">
      <w:pPr>
        <w:spacing w:after="0" w:before="0" w:line="240" w:lineRule="auto"/>
        <w:ind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0" w:before="0" w:line="240"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Asimismo, en el Amparo en Revisión 550/2022</w:t>
      </w:r>
      <w:r w:rsidDel="00000000" w:rsidR="00000000" w:rsidRPr="00000000">
        <w:rPr>
          <w:rFonts w:ascii="Garamond" w:cs="Garamond" w:eastAsia="Garamond" w:hAnsi="Garamond"/>
          <w:vertAlign w:val="superscript"/>
        </w:rPr>
        <w:footnoteReference w:customMarkFollows="0" w:id="5"/>
      </w:r>
      <w:r w:rsidDel="00000000" w:rsidR="00000000" w:rsidRPr="00000000">
        <w:rPr>
          <w:rFonts w:ascii="Garamond" w:cs="Garamond" w:eastAsia="Garamond" w:hAnsi="Garamond"/>
          <w:rtl w:val="0"/>
        </w:rPr>
        <w:t xml:space="preserve">, el Alto Tribunal consolidó el criterio de que la dilación en la prestación del servicio de aborto por violación son violatorios de los derechos a la salud, integridad personal, igualdad, autonomía reproductiva y derechos de las víctimas, y constituyen un trato cruel, inhumano e incluso degradante, por lo que ordenó medidas de reparación integral y garantías de no repetición, fijando el criterio de que los servicios de aborto legal deben brindarse con urgencia, diligencia reforzada y perspectiva de género cuando se trate de víctimas de violencia sexual.</w:t>
      </w:r>
    </w:p>
    <w:p w:rsidR="00000000" w:rsidDel="00000000" w:rsidP="00000000" w:rsidRDefault="00000000" w:rsidRPr="00000000" w14:paraId="00000031">
      <w:pPr>
        <w:spacing w:after="0" w:before="0" w:line="240" w:lineRule="auto"/>
        <w:ind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0" w:before="0" w:line="240" w:lineRule="auto"/>
        <w:ind w:firstLine="720"/>
        <w:jc w:val="both"/>
        <w:rPr>
          <w:rFonts w:ascii="Garamond" w:cs="Garamond" w:eastAsia="Garamond" w:hAnsi="Garamond"/>
        </w:rPr>
      </w:pPr>
      <w:r w:rsidDel="00000000" w:rsidR="00000000" w:rsidRPr="00000000">
        <w:rPr>
          <w:rFonts w:ascii="Garamond" w:cs="Garamond" w:eastAsia="Garamond" w:hAnsi="Garamond"/>
          <w:rtl w:val="0"/>
        </w:rPr>
        <w:t xml:space="preserve">De estos precedentes se desprende que (i) La negativa, dilación o condicionamiento del servicio constituye una violación directa a derechos humanos. (ii) La autoridad administrativa no puede exigir requisitos adicionales a los previstos en la NOM-046 (iii) La limitación temporal del aborto por violación es inconstitucional por lo que la autoridad sanitaria no puede negar la prestación del servicio por ese motivo (iv) La atención debe considerarse urgente.</w:t>
      </w:r>
    </w:p>
    <w:p w:rsidR="00000000" w:rsidDel="00000000" w:rsidP="00000000" w:rsidRDefault="00000000" w:rsidRPr="00000000" w14:paraId="00000033">
      <w:pPr>
        <w:spacing w:after="0" w:before="0" w:line="240" w:lineRule="auto"/>
        <w:ind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4">
      <w:pPr>
        <w:spacing w:after="0" w:before="0" w:line="240" w:lineRule="auto"/>
        <w:ind w:left="0" w:firstLine="720"/>
        <w:jc w:val="both"/>
        <w:rPr>
          <w:rFonts w:ascii="Garamond" w:cs="Garamond" w:eastAsia="Garamond" w:hAnsi="Garamond"/>
        </w:rPr>
      </w:pPr>
      <w:r w:rsidDel="00000000" w:rsidR="00000000" w:rsidRPr="00000000">
        <w:rPr>
          <w:rFonts w:ascii="Garamond" w:cs="Garamond" w:eastAsia="Garamond" w:hAnsi="Garamond"/>
          <w:rtl w:val="0"/>
        </w:rPr>
        <w:t xml:space="preserve">Con base en lo expuesto, atendiendo a la naturaleza y </w:t>
      </w:r>
      <w:r w:rsidDel="00000000" w:rsidR="00000000" w:rsidRPr="00000000">
        <w:rPr>
          <w:rFonts w:ascii="Garamond" w:cs="Garamond" w:eastAsia="Garamond" w:hAnsi="Garamond"/>
          <w:b w:val="1"/>
          <w:bCs w:val="1"/>
          <w:rtl w:val="0"/>
        </w:rPr>
        <w:t xml:space="preserve">URGENCIA</w:t>
      </w:r>
      <w:r w:rsidDel="00000000" w:rsidR="00000000" w:rsidRPr="00000000">
        <w:rPr>
          <w:rFonts w:ascii="Garamond" w:cs="Garamond" w:eastAsia="Garamond" w:hAnsi="Garamond"/>
          <w:rtl w:val="0"/>
        </w:rPr>
        <w:t xml:space="preserve"> de lo expuesto, solicito que, en un plazo máximo de </w:t>
      </w:r>
      <w:r w:rsidDel="00000000" w:rsidR="00000000" w:rsidRPr="00000000">
        <w:rPr>
          <w:rFonts w:ascii="Garamond" w:cs="Garamond" w:eastAsia="Garamond" w:hAnsi="Garamond"/>
          <w:b w:val="1"/>
          <w:bCs w:val="1"/>
          <w:rtl w:val="0"/>
        </w:rPr>
        <w:t xml:space="preserve">48 horas</w:t>
      </w:r>
      <w:r w:rsidDel="00000000" w:rsidR="00000000" w:rsidRPr="00000000">
        <w:rPr>
          <w:rFonts w:ascii="Garamond" w:cs="Garamond" w:eastAsia="Garamond" w:hAnsi="Garamond"/>
          <w:rtl w:val="0"/>
        </w:rPr>
        <w:t xml:space="preserve"> contadas a partir de la recepción de la presente, se tenga a bien acordar lo siguiente:</w:t>
      </w:r>
    </w:p>
    <w:p w:rsidR="00000000" w:rsidDel="00000000" w:rsidP="00000000" w:rsidRDefault="00000000" w:rsidRPr="00000000" w14:paraId="00000035">
      <w:pPr>
        <w:spacing w:after="0" w:before="0" w:line="240" w:lineRule="auto"/>
        <w:jc w:val="both"/>
        <w:rPr>
          <w:rFonts w:ascii="Garamond" w:cs="Garamond" w:eastAsia="Garamond" w:hAnsi="Garamond"/>
          <w:b w:val="1"/>
          <w:bCs w:val="1"/>
          <w:smallCaps w:val="1"/>
        </w:rPr>
      </w:pPr>
      <w:r w:rsidDel="00000000" w:rsidR="00000000" w:rsidRPr="00000000">
        <w:rPr>
          <w:rFonts w:ascii="Garamond" w:cs="Garamond" w:eastAsia="Garamond" w:hAnsi="Garamond"/>
          <w:b w:val="1"/>
          <w:bCs w:val="1"/>
          <w:smallCaps w:val="1"/>
          <w:rtl w:val="0"/>
        </w:rPr>
        <w:t xml:space="preserve"> </w:t>
      </w:r>
    </w:p>
    <w:p w:rsidR="00000000" w:rsidDel="00000000" w:rsidP="00000000" w:rsidRDefault="00000000" w:rsidRPr="00000000" w14:paraId="00000036">
      <w:pPr>
        <w:spacing w:after="0" w:before="0" w:line="240" w:lineRule="auto"/>
        <w:ind w:left="0" w:firstLine="0"/>
        <w:jc w:val="both"/>
        <w:rPr>
          <w:rFonts w:ascii="Garamond" w:cs="Garamond" w:eastAsia="Garamond" w:hAnsi="Garamond"/>
        </w:rPr>
      </w:pPr>
      <w:r w:rsidDel="00000000" w:rsidR="00000000" w:rsidRPr="00000000">
        <w:rPr>
          <w:rFonts w:ascii="Garamond" w:cs="Garamond" w:eastAsia="Garamond" w:hAnsi="Garamond"/>
          <w:b w:val="1"/>
          <w:bCs w:val="1"/>
          <w:rtl w:val="0"/>
        </w:rPr>
        <w:t xml:space="preserve">Primero. </w:t>
      </w:r>
      <w:r w:rsidDel="00000000" w:rsidR="00000000" w:rsidRPr="00000000">
        <w:rPr>
          <w:rFonts w:ascii="Garamond" w:cs="Garamond" w:eastAsia="Garamond" w:hAnsi="Garamond"/>
          <w:rtl w:val="0"/>
        </w:rPr>
        <w:t xml:space="preserve">Se de respuesta a mi solicitud por escrito y debidamente fundada y motivada</w:t>
      </w:r>
    </w:p>
    <w:p w:rsidR="00000000" w:rsidDel="00000000" w:rsidP="00000000" w:rsidRDefault="00000000" w:rsidRPr="00000000" w14:paraId="00000037">
      <w:pPr>
        <w:spacing w:after="0" w:before="0" w:line="240" w:lineRule="auto"/>
        <w:ind w:left="0" w:firstLine="0"/>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38">
      <w:pPr>
        <w:spacing w:after="0" w:before="0" w:line="240" w:lineRule="auto"/>
        <w:ind w:left="0" w:firstLine="0"/>
        <w:jc w:val="both"/>
        <w:rPr>
          <w:rFonts w:ascii="Garamond" w:cs="Garamond" w:eastAsia="Garamond" w:hAnsi="Garamond"/>
        </w:rPr>
      </w:pPr>
      <w:r w:rsidDel="00000000" w:rsidR="00000000" w:rsidRPr="00000000">
        <w:rPr>
          <w:rFonts w:ascii="Garamond" w:cs="Garamond" w:eastAsia="Garamond" w:hAnsi="Garamond"/>
          <w:b w:val="1"/>
          <w:bCs w:val="1"/>
          <w:rtl w:val="0"/>
        </w:rPr>
        <w:t xml:space="preserve">Segundo. </w:t>
      </w:r>
      <w:r w:rsidDel="00000000" w:rsidR="00000000" w:rsidRPr="00000000">
        <w:rPr>
          <w:rFonts w:ascii="Garamond" w:cs="Garamond" w:eastAsia="Garamond" w:hAnsi="Garamond"/>
          <w:rtl w:val="0"/>
        </w:rPr>
        <w:t xml:space="preserve">Se designe al personal médico debidamente capacitado que deberá practicar la interrupción legal del embarazo y,</w:t>
      </w:r>
    </w:p>
    <w:p w:rsidR="00000000" w:rsidDel="00000000" w:rsidP="00000000" w:rsidRDefault="00000000" w:rsidRPr="00000000" w14:paraId="00000039">
      <w:pPr>
        <w:spacing w:after="0" w:before="0" w:line="240" w:lineRule="auto"/>
        <w:ind w:firstLine="280"/>
        <w:jc w:val="both"/>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03A">
      <w:pPr>
        <w:spacing w:after="0" w:before="0" w:line="240" w:lineRule="auto"/>
        <w:ind w:left="0" w:firstLine="0"/>
        <w:jc w:val="both"/>
        <w:rPr>
          <w:rFonts w:ascii="Garamond" w:cs="Garamond" w:eastAsia="Garamond" w:hAnsi="Garamond"/>
        </w:rPr>
      </w:pPr>
      <w:r w:rsidDel="00000000" w:rsidR="00000000" w:rsidRPr="00000000">
        <w:rPr>
          <w:rFonts w:ascii="Garamond" w:cs="Garamond" w:eastAsia="Garamond" w:hAnsi="Garamond"/>
          <w:b w:val="1"/>
          <w:bCs w:val="1"/>
          <w:rtl w:val="0"/>
        </w:rPr>
        <w:t xml:space="preserve">Tercero. </w:t>
      </w:r>
      <w:r w:rsidDel="00000000" w:rsidR="00000000" w:rsidRPr="00000000">
        <w:rPr>
          <w:rFonts w:ascii="Garamond" w:cs="Garamond" w:eastAsia="Garamond" w:hAnsi="Garamond"/>
          <w:rtl w:val="0"/>
        </w:rPr>
        <w:t xml:space="preserve">Se señale fecha y hora para realizar el procedimiento médico de urgencia solicitado.</w:t>
      </w:r>
    </w:p>
    <w:p w:rsidR="00000000" w:rsidDel="00000000" w:rsidP="00000000" w:rsidRDefault="00000000" w:rsidRPr="00000000" w14:paraId="0000003B">
      <w:pPr>
        <w:spacing w:after="0" w:before="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3C">
      <w:pPr>
        <w:spacing w:after="0" w:before="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D">
      <w:pPr>
        <w:spacing w:after="0" w:before="0" w:line="240" w:lineRule="auto"/>
        <w:jc w:val="right"/>
        <w:rPr>
          <w:rFonts w:ascii="Garamond" w:cs="Garamond" w:eastAsia="Garamond" w:hAnsi="Garamond"/>
        </w:rPr>
      </w:pPr>
      <w:r w:rsidDel="00000000" w:rsidR="00000000" w:rsidRPr="00000000">
        <w:rPr>
          <w:rFonts w:ascii="Garamond" w:cs="Garamond" w:eastAsia="Garamond" w:hAnsi="Garamond"/>
          <w:rtl w:val="0"/>
        </w:rPr>
        <w:t xml:space="preserve">Fecha de su presentación</w:t>
      </w:r>
    </w:p>
    <w:p w:rsidR="00000000" w:rsidDel="00000000" w:rsidP="00000000" w:rsidRDefault="00000000" w:rsidRPr="00000000" w14:paraId="0000003E">
      <w:pPr>
        <w:spacing w:after="0" w:before="0" w:line="240" w:lineRule="auto"/>
        <w:jc w:val="righ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3F">
      <w:pPr>
        <w:spacing w:after="0" w:before="0" w:line="240" w:lineRule="auto"/>
        <w:jc w:val="righ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4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Atentamente,</w:t>
      </w:r>
    </w:p>
    <w:p w:rsidR="00000000" w:rsidDel="00000000" w:rsidP="00000000" w:rsidRDefault="00000000" w:rsidRPr="00000000" w14:paraId="00000041">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4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43">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4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__________________________</w:t>
      </w:r>
    </w:p>
    <w:p w:rsidR="00000000" w:rsidDel="00000000" w:rsidP="00000000" w:rsidRDefault="00000000" w:rsidRPr="00000000" w14:paraId="00000045">
      <w:pPr>
        <w:spacing w:after="0" w:before="0" w:line="24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NOMBRE Y FIRMA DE LA PERSONA QUE DESEA ABORTAR</w:t>
      </w:r>
      <w:r w:rsidDel="00000000" w:rsidR="00000000" w:rsidRPr="00000000">
        <w:rPr>
          <w:rFonts w:ascii="Garamond" w:cs="Garamond" w:eastAsia="Garamond" w:hAnsi="Garamond"/>
          <w:b w:val="1"/>
          <w:bCs w:val="1"/>
          <w:rtl w:val="0"/>
        </w:rPr>
        <w:t xml:space="preserve">]</w:t>
      </w:r>
      <w:r w:rsidDel="00000000" w:rsidR="00000000" w:rsidRPr="00000000">
        <w:rPr>
          <w:rtl w:val="0"/>
        </w:rPr>
      </w:r>
    </w:p>
    <w:p w:rsidR="00000000" w:rsidDel="00000000" w:rsidP="00000000" w:rsidRDefault="00000000" w:rsidRPr="00000000" w14:paraId="00000046">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7">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8">
      <w:pPr>
        <w:spacing w:after="0" w:before="0" w:line="240" w:lineRule="auto"/>
        <w:rPr>
          <w:rFonts w:ascii="Garamond" w:cs="Garamond" w:eastAsia="Garamond" w:hAnsi="Garamond"/>
        </w:rPr>
      </w:pPr>
      <w:r w:rsidDel="00000000" w:rsidR="00000000" w:rsidRPr="00000000">
        <w:rPr>
          <w:rtl w:val="0"/>
        </w:rPr>
      </w:r>
    </w:p>
    <w:sectPr>
      <w:headerReference r:id="rId10" w:type="first"/>
      <w:footerReference r:id="rId11" w:type="default"/>
      <w:footerReference r:id="rId12" w:type="first"/>
      <w:pgSz w:h="15840" w:w="12240" w:orient="portrait"/>
      <w:pgMar w:bottom="851" w:top="851" w:left="964" w:right="964" w:header="567" w:footer="567"/>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Verónica Esparza" w:id="0" w:date="2026-03-04T21:07:43Z">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Duda: ¿es necesario que alguien la acompañe?</w:t>
      </w:r>
    </w:p>
  </w:comment>
  <w:comment w:author="Ximena Mendoza Ramirez" w:id="1" w:date="2026-03-10T15:03:41Z">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Solo si es menor de edad, pero no necesariamente tendría que ponerse aquí</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D" w15:done="0"/>
  <w15:commentEx w15:paraId="0000005E" w15:paraIdParent="0000005D"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roxima Nova Semibold">
    <w:embedRegular w:fontKey="{00000000-0000-0000-0000-000000000000}" r:id="rId9" w:subsetted="0"/>
    <w:embedBold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018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4"/>
      <w:gridCol w:w="5094"/>
      <w:tblGridChange w:id="0">
        <w:tblGrid>
          <w:gridCol w:w="5094"/>
          <w:gridCol w:w="5094"/>
        </w:tblGrid>
      </w:tblGridChange>
    </w:tblGrid>
    <w:tr>
      <w:trPr>
        <w:cantSplit w:val="0"/>
        <w:trHeight w:val="227" w:hRule="atLeast"/>
        <w:tblHeader w:val="0"/>
      </w:trPr>
      <w:tc>
        <w:tcPr>
          <w:tcBorders>
            <w:top w:color="000000" w:space="0" w:sz="4" w:val="single"/>
          </w:tcBorders>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Proxima Nova" w:cs="Proxima Nova" w:eastAsia="Proxima Nova" w:hAnsi="Proxima Nova"/>
              <w:b w:val="0"/>
              <w:bCs w:val="0"/>
              <w:i w:val="0"/>
              <w:iCs w:val="0"/>
              <w:smallCaps w:val="0"/>
              <w:strike w:val="0"/>
              <w:color w:val="404040"/>
              <w:sz w:val="18"/>
              <w:szCs w:val="18"/>
              <w:u w:val="none"/>
              <w:shd w:fill="auto" w:val="clear"/>
              <w:vertAlign w:val="baseline"/>
            </w:rPr>
          </w:pPr>
          <w:r w:rsidDel="00000000" w:rsidR="00000000" w:rsidRPr="00000000">
            <w:rPr>
              <w:rtl w:val="0"/>
            </w:rPr>
          </w:r>
        </w:p>
      </w:tc>
      <w:tc>
        <w:tcPr>
          <w:tcBorders>
            <w:top w:color="000000" w:space="0" w:sz="4" w:val="single"/>
          </w:tcBorders>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404040"/>
              <w:sz w:val="24"/>
              <w:szCs w:val="24"/>
              <w:u w:val="none"/>
              <w:shd w:fill="auto" w:val="clear"/>
              <w:vertAlign w:val="baseline"/>
            </w:rPr>
          </w:pPr>
          <w:r w:rsidDel="00000000" w:rsidR="00000000" w:rsidRPr="00000000">
            <w:rPr>
              <w:rtl w:val="0"/>
            </w:rPr>
          </w:r>
        </w:p>
      </w:tc>
    </w:tr>
    <w:tr>
      <w:trPr>
        <w:cantSplit w:val="0"/>
        <w:trHeight w:val="454" w:hRule="atLeast"/>
        <w:tblHeader w:val="0"/>
      </w:trPr>
      <w:tc>
        <w:tcPr>
          <w:vMerge w:val="restart"/>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Proxima Nova" w:cs="Proxima Nova" w:eastAsia="Proxima Nova" w:hAnsi="Proxima Nova"/>
              <w:b w:val="0"/>
              <w:bCs w:val="0"/>
              <w:i w:val="0"/>
              <w:iCs w:val="0"/>
              <w:smallCaps w:val="0"/>
              <w:strike w:val="0"/>
              <w:color w:val="404040"/>
              <w:sz w:val="18"/>
              <w:szCs w:val="18"/>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404040"/>
              <w:sz w:val="18"/>
              <w:szCs w:val="18"/>
              <w:u w:val="none"/>
              <w:shd w:fill="auto" w:val="clear"/>
              <w:vertAlign w:val="baseline"/>
            </w:rPr>
            <w:drawing>
              <wp:inline distB="0" distT="0" distL="0" distR="0">
                <wp:extent cx="627718" cy="556654"/>
                <wp:effectExtent b="0" l="0" r="0" t="0"/>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7718" cy="55665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404040"/>
              <w:sz w:val="24"/>
              <w:szCs w:val="24"/>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404040"/>
              <w:sz w:val="24"/>
              <w:szCs w:val="24"/>
              <w:u w:val="none"/>
              <w:shd w:fill="auto" w:val="clear"/>
              <w:vertAlign w:val="baseline"/>
            </w:rPr>
            <w:drawing>
              <wp:inline distB="0" distT="0" distL="0" distR="0">
                <wp:extent cx="914352" cy="204526"/>
                <wp:effectExtent b="0" l="0" r="0" t="0"/>
                <wp:docPr id="10"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914352" cy="204526"/>
                        </a:xfrm>
                        <a:prstGeom prst="rect"/>
                        <a:ln/>
                      </pic:spPr>
                    </pic:pic>
                  </a:graphicData>
                </a:graphic>
              </wp:inline>
            </w:drawing>
          </w:r>
          <w:r w:rsidDel="00000000" w:rsidR="00000000" w:rsidRPr="00000000">
            <w:rPr>
              <w:rtl w:val="0"/>
            </w:rPr>
          </w:r>
        </w:p>
      </w:tc>
    </w:tr>
    <w:tr>
      <w:trPr>
        <w:cantSplit w:val="0"/>
        <w:trHeight w:val="454" w:hRule="atLeast"/>
        <w:tblHeader w:val="0"/>
      </w:trPr>
      <w:tc>
        <w:tcPr>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40404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righ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www.gire.org.mx</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right"/>
            <w:rPr>
              <w:rFonts w:ascii="Proxima Nova Semibold" w:cs="Proxima Nova Semibold" w:eastAsia="Proxima Nova Semibold" w:hAnsi="Proxima Nova Semibold"/>
              <w:b w:val="1"/>
              <w:bCs w:val="1"/>
              <w:i w:val="0"/>
              <w:iCs w:val="0"/>
              <w:smallCaps w:val="0"/>
              <w:strike w:val="0"/>
              <w:color w:val="000000"/>
              <w:sz w:val="17"/>
              <w:szCs w:val="17"/>
              <w:u w:val="none"/>
              <w:shd w:fill="auto" w:val="clear"/>
              <w:vertAlign w:val="baseline"/>
            </w:rPr>
          </w:pP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0"/>
        <w:bCs w:val="0"/>
        <w:i w:val="0"/>
        <w:iCs w:val="0"/>
        <w:smallCaps w:val="0"/>
        <w:strike w:val="0"/>
        <w:color w:val="000000"/>
        <w:sz w:val="16"/>
        <w:szCs w:val="1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aramond" w:cs="Garamond" w:eastAsia="Garamond" w:hAnsi="Garamond"/>
        <w:b w:val="0"/>
        <w:bCs w:val="0"/>
        <w:i w:val="0"/>
        <w:iCs w:val="0"/>
        <w:smallCaps w:val="0"/>
        <w:strike w:val="0"/>
        <w:color w:val="404040"/>
        <w:sz w:val="16"/>
        <w:szCs w:val="16"/>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6">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aramond" w:cs="Garamond" w:eastAsia="Garamond" w:hAnsi="Garamond"/>
          <w:sz w:val="20"/>
          <w:szCs w:val="20"/>
          <w:rtl w:val="0"/>
        </w:rPr>
        <w:t xml:space="preserve">Ver, Informe del Relator Especial sobre la Tortura y otros Tratos o Penas Crueles, Inhumanos o Degradantes. Juan E. Méndez, 1 de febrero 2013.</w:t>
      </w:r>
      <w:r w:rsidDel="00000000" w:rsidR="00000000" w:rsidRPr="00000000">
        <w:rPr>
          <w:rtl w:val="0"/>
        </w:rPr>
      </w:r>
    </w:p>
  </w:footnote>
  <w:footnote w:id="1">
    <w:p w:rsidR="00000000" w:rsidDel="00000000" w:rsidP="00000000" w:rsidRDefault="00000000" w:rsidRPr="00000000" w14:paraId="00000057">
      <w:pPr>
        <w:rPr>
          <w:rFonts w:ascii="Garamond" w:cs="Garamond" w:eastAsia="Garamond" w:hAnsi="Garamond"/>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Amparo en Revisión 601/2017 resuelto en sesión de la Segunda Sala de la Suprema Corte el 4 de abril de 2018. Disponible en: </w:t>
      </w:r>
      <w:hyperlink r:id="rId1">
        <w:r w:rsidDel="00000000" w:rsidR="00000000" w:rsidRPr="00000000">
          <w:rPr>
            <w:rFonts w:ascii="Garamond" w:cs="Garamond" w:eastAsia="Garamond" w:hAnsi="Garamond"/>
            <w:color w:val="1155cc"/>
            <w:sz w:val="20"/>
            <w:szCs w:val="20"/>
            <w:u w:val="single"/>
            <w:rtl w:val="0"/>
          </w:rPr>
          <w:t xml:space="preserve">https://www2.scjn.gob.mx/ConsultasTematica/Detalle/218421</w:t>
        </w:r>
      </w:hyperlink>
      <w:r w:rsidDel="00000000" w:rsidR="00000000" w:rsidRPr="00000000">
        <w:rPr>
          <w:rtl w:val="0"/>
        </w:rPr>
      </w:r>
    </w:p>
  </w:footnote>
  <w:footnote w:id="2">
    <w:p w:rsidR="00000000" w:rsidDel="00000000" w:rsidP="00000000" w:rsidRDefault="00000000" w:rsidRPr="00000000" w14:paraId="00000058">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aramond" w:cs="Garamond" w:eastAsia="Garamond" w:hAnsi="Garamond"/>
          <w:sz w:val="20"/>
          <w:szCs w:val="20"/>
          <w:rtl w:val="0"/>
        </w:rPr>
        <w:t xml:space="preserve">Amparo en Revisión 1170/2017 resuelto en sesión de la Segunda Sala de la Suprema Corte de Justicia de la Nación, el 18 de abril de 2018. Disponible en: </w:t>
      </w:r>
      <w:hyperlink r:id="rId2">
        <w:r w:rsidDel="00000000" w:rsidR="00000000" w:rsidRPr="00000000">
          <w:rPr>
            <w:rFonts w:ascii="Garamond" w:cs="Garamond" w:eastAsia="Garamond" w:hAnsi="Garamond"/>
            <w:color w:val="1155cc"/>
            <w:sz w:val="20"/>
            <w:szCs w:val="20"/>
            <w:u w:val="single"/>
            <w:rtl w:val="0"/>
          </w:rPr>
          <w:t xml:space="preserve">https://www2.scjn.gob.mx/ConsultasTematica/Detalle/225783</w:t>
        </w:r>
      </w:hyperlink>
      <w:r w:rsidDel="00000000" w:rsidR="00000000" w:rsidRPr="00000000">
        <w:rPr>
          <w:rtl w:val="0"/>
        </w:rPr>
      </w:r>
    </w:p>
  </w:footnote>
  <w:footnote w:id="3">
    <w:p w:rsidR="00000000" w:rsidDel="00000000" w:rsidP="00000000" w:rsidRDefault="00000000" w:rsidRPr="00000000" w14:paraId="00000059">
      <w:pPr>
        <w:rPr>
          <w:rFonts w:ascii="Garamond" w:cs="Garamond" w:eastAsia="Garamond" w:hAnsi="Garamond"/>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Amparo en Revisión 45/2018 Resuelto en sesión de la Primera Sala de la Suprema Corte de Justicia de la Nación de 23 de febrero de 2022.  Disponible en: </w:t>
      </w:r>
      <w:hyperlink r:id="rId3">
        <w:r w:rsidDel="00000000" w:rsidR="00000000" w:rsidRPr="00000000">
          <w:rPr>
            <w:rFonts w:ascii="Garamond" w:cs="Garamond" w:eastAsia="Garamond" w:hAnsi="Garamond"/>
            <w:color w:val="1155cc"/>
            <w:sz w:val="20"/>
            <w:szCs w:val="20"/>
            <w:u w:val="single"/>
            <w:rtl w:val="0"/>
          </w:rPr>
          <w:t xml:space="preserve">https://www2.scjn.gob.mx/ConsultasTematica/Detalle/229672</w:t>
        </w:r>
      </w:hyperlink>
      <w:r w:rsidDel="00000000" w:rsidR="00000000" w:rsidRPr="00000000">
        <w:rPr>
          <w:rtl w:val="0"/>
        </w:rPr>
      </w:r>
    </w:p>
  </w:footnote>
  <w:footnote w:id="4">
    <w:p w:rsidR="00000000" w:rsidDel="00000000" w:rsidP="00000000" w:rsidRDefault="00000000" w:rsidRPr="00000000" w14:paraId="0000005A">
      <w:pPr>
        <w:rPr>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Resuelto en sesión de la Primera Sala de la Suprema Corte de Justicia de la Nación el  07 de julio de 2021. Disponible en: </w:t>
      </w:r>
      <w:hyperlink r:id="rId4">
        <w:r w:rsidDel="00000000" w:rsidR="00000000" w:rsidRPr="00000000">
          <w:rPr>
            <w:rFonts w:ascii="Garamond" w:cs="Garamond" w:eastAsia="Garamond" w:hAnsi="Garamond"/>
            <w:color w:val="1155cc"/>
            <w:sz w:val="20"/>
            <w:szCs w:val="20"/>
            <w:u w:val="single"/>
            <w:rtl w:val="0"/>
          </w:rPr>
          <w:t xml:space="preserve">https://www2.scjn.gob.mx/ConsultasTematica/Detalle/275054</w:t>
        </w:r>
      </w:hyperlink>
      <w:r w:rsidDel="00000000" w:rsidR="00000000" w:rsidRPr="00000000">
        <w:rPr>
          <w:rtl w:val="0"/>
        </w:rPr>
      </w:r>
    </w:p>
  </w:footnote>
  <w:footnote w:id="5">
    <w:p w:rsidR="00000000" w:rsidDel="00000000" w:rsidP="00000000" w:rsidRDefault="00000000" w:rsidRPr="00000000" w14:paraId="0000005B">
      <w:pPr>
        <w:rPr>
          <w:rFonts w:ascii="Garamond" w:cs="Garamond" w:eastAsia="Garamond" w:hAnsi="Garamond"/>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Amparo en Revisión 550/2022 resuelto en sesión de la Primera Sala de la Suprema Corte de Justicia de la Nación el 22 de mayo de 2024. Disponible en: </w:t>
      </w:r>
      <w:hyperlink r:id="rId5">
        <w:r w:rsidDel="00000000" w:rsidR="00000000" w:rsidRPr="00000000">
          <w:rPr>
            <w:rFonts w:ascii="Garamond" w:cs="Garamond" w:eastAsia="Garamond" w:hAnsi="Garamond"/>
            <w:color w:val="1155cc"/>
            <w:sz w:val="20"/>
            <w:szCs w:val="20"/>
            <w:u w:val="single"/>
            <w:rtl w:val="0"/>
          </w:rPr>
          <w:t xml:space="preserve">https://www2.scjn.gob.mx/ConsultasTematica/Detalle/303639</w:t>
        </w:r>
      </w:hyperlink>
      <w:r w:rsidDel="00000000" w:rsidR="00000000" w:rsidRPr="00000000">
        <w:rPr>
          <w:rtl w:val="0"/>
        </w:rPr>
      </w:r>
    </w:p>
    <w:p w:rsidR="00000000" w:rsidDel="00000000" w:rsidP="00000000" w:rsidRDefault="00000000" w:rsidRPr="00000000" w14:paraId="0000005C">
      <w:pPr>
        <w:rPr>
          <w:rFonts w:ascii="Garamond" w:cs="Garamond" w:eastAsia="Garamond" w:hAnsi="Garamond"/>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296"/>
      <w:tblGridChange w:id="0">
        <w:tblGrid>
          <w:gridCol w:w="10296"/>
        </w:tblGrid>
      </w:tblGridChange>
    </w:tblGrid>
    <w:tr>
      <w:trPr>
        <w:cantSplit w:val="0"/>
        <w:tblHeader w:val="0"/>
      </w:trPr>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39"/>
    <w:rsid w:val="008E5F12"/>
    <w:pPr>
      <w:spacing w:after="0" w:line="240" w:lineRule="auto"/>
    </w:pPr>
    <w:rPr>
      <w:kern w:val="0"/>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sicParagraph" w:customStyle="1">
    <w:name w:val="[Basic Paragraph]"/>
    <w:basedOn w:val="Normal"/>
    <w:uiPriority w:val="99"/>
    <w:rsid w:val="008E5F12"/>
    <w:pPr>
      <w:autoSpaceDE w:val="0"/>
      <w:autoSpaceDN w:val="0"/>
      <w:adjustRightInd w:val="0"/>
      <w:spacing w:line="288" w:lineRule="auto"/>
      <w:textAlignment w:val="center"/>
    </w:pPr>
    <w:rPr>
      <w:rFonts w:ascii="Minion Pro" w:cs="Minion Pro" w:hAnsi="Minion Pro" w:eastAsiaTheme="minorHAnsi"/>
      <w:color w:val="000000"/>
      <w:lang w:val="es-ES_tradnl"/>
    </w:rPr>
  </w:style>
  <w:style w:type="paragraph" w:styleId="Encabezado">
    <w:name w:val="header"/>
    <w:basedOn w:val="Normal"/>
    <w:link w:val="EncabezadoCar"/>
    <w:uiPriority w:val="99"/>
    <w:unhideWhenUsed w:val="1"/>
    <w:rsid w:val="008E5F12"/>
    <w:pPr>
      <w:tabs>
        <w:tab w:val="center" w:pos="4680"/>
        <w:tab w:val="right" w:pos="9360"/>
      </w:tabs>
    </w:pPr>
  </w:style>
  <w:style w:type="character" w:styleId="EncabezadoCar" w:customStyle="1">
    <w:name w:val="Encabezado Car"/>
    <w:basedOn w:val="Fuentedeprrafopredeter"/>
    <w:link w:val="Encabezado"/>
    <w:uiPriority w:val="99"/>
    <w:rsid w:val="008E5F12"/>
    <w:rPr>
      <w:rFonts w:eastAsiaTheme="minorEastAsia"/>
      <w:kern w:val="0"/>
      <w:sz w:val="24"/>
      <w:szCs w:val="24"/>
    </w:rPr>
  </w:style>
  <w:style w:type="paragraph" w:styleId="Piedepgina">
    <w:name w:val="footer"/>
    <w:basedOn w:val="Normal"/>
    <w:link w:val="PiedepginaCar"/>
    <w:uiPriority w:val="99"/>
    <w:unhideWhenUsed w:val="1"/>
    <w:rsid w:val="008E5F12"/>
    <w:pPr>
      <w:tabs>
        <w:tab w:val="center" w:pos="4680"/>
        <w:tab w:val="right" w:pos="9360"/>
      </w:tabs>
    </w:pPr>
  </w:style>
  <w:style w:type="character" w:styleId="PiedepginaCar" w:customStyle="1">
    <w:name w:val="Pie de página Car"/>
    <w:basedOn w:val="Fuentedeprrafopredeter"/>
    <w:link w:val="Piedepgina"/>
    <w:uiPriority w:val="99"/>
    <w:rsid w:val="008E5F12"/>
    <w:rPr>
      <w:rFonts w:eastAsiaTheme="minorEastAsia"/>
      <w:kern w:val="0"/>
      <w:sz w:val="24"/>
      <w:szCs w:val="24"/>
    </w:rPr>
  </w:style>
  <w:style w:type="paragraph" w:styleId="Sinespaciado">
    <w:name w:val="No Spacing"/>
    <w:aliases w:val="RESOLUTIVOS"/>
    <w:link w:val="SinespaciadoCar"/>
    <w:uiPriority w:val="1"/>
    <w:qFormat w:val="1"/>
    <w:rsid w:val="008E5F12"/>
    <w:pPr>
      <w:spacing w:after="0" w:line="240" w:lineRule="auto"/>
    </w:pPr>
    <w:rPr>
      <w:rFonts w:eastAsiaTheme="minorEastAsia"/>
      <w:kern w:val="0"/>
      <w:sz w:val="24"/>
      <w:szCs w:val="24"/>
    </w:rPr>
  </w:style>
  <w:style w:type="character" w:styleId="SinespaciadoCar" w:customStyle="1">
    <w:name w:val="Sin espaciado Car"/>
    <w:aliases w:val="RESOLUTIVOS Car"/>
    <w:basedOn w:val="Fuentedeprrafopredeter"/>
    <w:link w:val="Sinespaciado"/>
    <w:uiPriority w:val="1"/>
    <w:locked w:val="1"/>
    <w:rsid w:val="008E5F12"/>
    <w:rPr>
      <w:rFonts w:eastAsiaTheme="minorEastAsia"/>
      <w:kern w:val="0"/>
      <w:sz w:val="24"/>
      <w:szCs w:val="24"/>
    </w:rPr>
  </w:style>
  <w:style w:type="character" w:styleId="Hipervnculo">
    <w:name w:val="Hyperlink"/>
    <w:basedOn w:val="Fuentedeprrafopredeter"/>
    <w:uiPriority w:val="99"/>
    <w:unhideWhenUsed w:val="1"/>
    <w:rsid w:val="008E5F12"/>
    <w:rPr>
      <w:color w:val="0000ff"/>
      <w:u w:val="single"/>
    </w:rPr>
  </w:style>
  <w:style w:type="paragraph" w:styleId="Prrafodelista">
    <w:name w:val="List Paragraph"/>
    <w:aliases w:val="Cita texto,Párrafo de lista1,TEXTO GENERAL SENTENCIAS,Footnote,List Paragraph1,Párrafo de lista2,List Paragraph,CNBV Parrafo1,Parrafo 1,Colorful List - Accent 11,Cuadrícula clara - Énfasis 31"/>
    <w:basedOn w:val="Normal"/>
    <w:link w:val="PrrafodelistaCar"/>
    <w:uiPriority w:val="34"/>
    <w:qFormat w:val="1"/>
    <w:rsid w:val="001C08A2"/>
    <w:pPr>
      <w:ind w:left="720"/>
      <w:contextualSpacing w:val="1"/>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Ca,FA Fu?notentext,C,ft"/>
    <w:basedOn w:val="Normal"/>
    <w:link w:val="TextonotapieCar"/>
    <w:uiPriority w:val="99"/>
    <w:unhideWhenUsed w:val="1"/>
    <w:qFormat w:val="1"/>
    <w:rsid w:val="00CE6327"/>
    <w:rPr>
      <w:sz w:val="20"/>
      <w:szCs w:val="20"/>
    </w:rPr>
  </w:style>
  <w:style w:type="character" w:styleId="TextonotapieCar" w:customStyle="1">
    <w:name w:val="Texto nota pie Car"/>
    <w:aliases w:val="Footnote reference Car,FA Fu Car,Footnote Text Char Char Char Char Char Car,Footnote Text Char Char Char Char Car,Footnote Text Char Char Char Car,Footnote Text Cha Car,FA Fußnotentext Car,FA Fuﬂnotentext Car,FA Fu?notente Car,Ca Car"/>
    <w:basedOn w:val="Fuentedeprrafopredeter"/>
    <w:link w:val="Textonotapie"/>
    <w:uiPriority w:val="99"/>
    <w:rsid w:val="00CE6327"/>
    <w:rPr>
      <w:rFonts w:eastAsiaTheme="minorEastAsia"/>
      <w:kern w:val="0"/>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Refdenotaalpie1"/>
    <w:uiPriority w:val="99"/>
    <w:unhideWhenUsed w:val="1"/>
    <w:qFormat w:val="1"/>
    <w:rsid w:val="00CE6327"/>
    <w:rPr>
      <w:vertAlign w:val="superscript"/>
    </w:rPr>
  </w:style>
  <w:style w:type="character" w:styleId="PrrafodelistaCar" w:customStyle="1">
    <w:name w:val="Párrafo de lista Car"/>
    <w:aliases w:val="Cita texto Car,Párrafo de lista1 Car,TEXTO GENERAL SENTENCIAS Car,Footnote Car,List Paragraph1 Car,Párrafo de lista2 Car,List Paragraph Car,CNBV Parrafo1 Car,Parrafo 1 Car,Colorful List - Accent 11 Car"/>
    <w:link w:val="Prrafodelista"/>
    <w:uiPriority w:val="34"/>
    <w:locked w:val="1"/>
    <w:rsid w:val="00705789"/>
    <w:rPr>
      <w:rFonts w:eastAsiaTheme="minorEastAsia"/>
      <w:kern w:val="0"/>
      <w:sz w:val="24"/>
      <w:szCs w:val="24"/>
    </w:rPr>
  </w:style>
  <w:style w:type="paragraph" w:styleId="Refdenotaalpie1" w:customStyle="1">
    <w:name w:val="Ref. de nota al pie1"/>
    <w:aliases w:val=" BVI fnr Car Car Car Car,BVI fnr Car Car Car Car"/>
    <w:basedOn w:val="Normal"/>
    <w:link w:val="Refdenotaalpie"/>
    <w:uiPriority w:val="99"/>
    <w:rsid w:val="00E20026"/>
    <w:pPr>
      <w:spacing w:after="160" w:line="240" w:lineRule="exact"/>
    </w:pPr>
    <w:rPr>
      <w:rFonts w:eastAsiaTheme="minorHAnsi"/>
      <w:kern w:val="2"/>
      <w:sz w:val="22"/>
      <w:szCs w:val="22"/>
      <w:vertAlign w:val="superscript"/>
    </w:rPr>
  </w:style>
  <w:style w:type="character" w:styleId="Mencinsinresolver">
    <w:name w:val="Unresolved Mention"/>
    <w:basedOn w:val="Fuentedeprrafopredeter"/>
    <w:uiPriority w:val="99"/>
    <w:semiHidden w:val="1"/>
    <w:unhideWhenUsed w:val="1"/>
    <w:rsid w:val="0060001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microsoft.com/office/2011/relationships/commentsExtended" Target="commentsExtended.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ProximaNovaSemibold-boldItalic.ttf"/><Relationship Id="rId10" Type="http://schemas.openxmlformats.org/officeDocument/2006/relationships/font" Target="fonts/ProximaNovaSemibold-bold.ttf"/><Relationship Id="rId9" Type="http://schemas.openxmlformats.org/officeDocument/2006/relationships/font" Target="fonts/ProximaNovaSemibold-regular.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2.scjn.gob.mx/ConsultasTematica/Detalle/218421" TargetMode="External"/><Relationship Id="rId2" Type="http://schemas.openxmlformats.org/officeDocument/2006/relationships/hyperlink" Target="https://www2.scjn.gob.mx/ConsultasTematica/Detalle/225783" TargetMode="External"/><Relationship Id="rId3" Type="http://schemas.openxmlformats.org/officeDocument/2006/relationships/hyperlink" Target="https://www2.scjn.gob.mx/ConsultasTematica/Detalle/229672" TargetMode="External"/><Relationship Id="rId4" Type="http://schemas.openxmlformats.org/officeDocument/2006/relationships/hyperlink" Target="https://www2.scjn.gob.mx/ConsultasTematica/Detalle/275054" TargetMode="External"/><Relationship Id="rId5" Type="http://schemas.openxmlformats.org/officeDocument/2006/relationships/hyperlink" Target="https://www2.scjn.gob.mx/ConsultasTematica/Detalle/30363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6hLOcgrdAUkkGjT/7jt63xt3w==">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2024-04-23T19:55:00Z</dcterms:created>
  <dc:creator>Ximena Mendoza</dc:creator>
</cp:coreProperties>
</file>